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724-2026 i Skövde kommun</w:t>
      </w:r>
    </w:p>
    <w:p>
      <w:r>
        <w:t>Detta dokument behandlar höga naturvärden i avverkningsanmälan A 724-2026 i Skövde kommun. Denna avverkningsanmälan inkom 2026-01-03 00:00:00 och omfattar 6,6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6 naturvårdsarter hittats: garnlav (NT), spillkråka (NT, §4), tallticka (NT), guldlockmossa (S), kattfotslav (S) och svart trolldruva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49044"/>
            <wp:docPr id="1" name="Picture 1"/>
            <wp:cNvGraphicFramePr>
              <a:graphicFrameLocks noChangeAspect="1"/>
            </wp:cNvGraphicFramePr>
            <a:graphic>
              <a:graphicData uri="http://schemas.openxmlformats.org/drawingml/2006/picture">
                <pic:pic>
                  <pic:nvPicPr>
                    <pic:cNvPr id="0" name="A 724-2026 karta.png"/>
                    <pic:cNvPicPr/>
                  </pic:nvPicPr>
                  <pic:blipFill>
                    <a:blip r:embed="rId16"/>
                    <a:stretch>
                      <a:fillRect/>
                    </a:stretch>
                  </pic:blipFill>
                  <pic:spPr>
                    <a:xfrm>
                      <a:off x="0" y="0"/>
                      <a:ext cx="5486400" cy="47490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6488248, E 426330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 </w:t>
      </w:r>
      <w:r>
        <w:t xml:space="preserve"> (SLU Artdatabanken, 2024).</w:t>
      </w:r>
    </w:p>
    <w:p>
      <w:r>
        <w:rPr>
          <w:b/>
        </w:rPr>
        <w:t>Guldlockmossa</w:t>
      </w:r>
      <w:r>
        <w:t xml:space="preserve"> växer på solexponerade, basiska klippor och block samt på skrovlig bark vid basen av ädellövträd med rik bark, ofta på gamla ekar, bokar och andra ädellövträd som står öppet i bryn. Särskilt högt signalvärde har den i norra Sverige där den sällsynt kan påträffas i sydväxtberg på klippor med basiska bergarter. Guldlockmossa är typisk art för </w:t>
      </w:r>
      <w:r>
        <w:rPr>
          <w:i/>
        </w:rPr>
        <w:t xml:space="preserve">9110 Näringsfattig bokskog, 9160 Näringsrik ekskog, 9180 Ädellövskog i branter </w:t>
      </w:r>
      <w:r>
        <w:t xml:space="preserve">och </w:t>
      </w:r>
      <w:r>
        <w:rPr>
          <w:i/>
        </w:rPr>
        <w:t xml:space="preserve">9190 Näringsfattig ekskog </w:t>
      </w:r>
      <w:r>
        <w:t>(Nitare &amp; Skogsstyrelsen, 2019; SLU Artdatabanken, 2025).</w:t>
      </w:r>
    </w:p>
    <w:p>
      <w:r>
        <w:rPr>
          <w:b/>
        </w:rPr>
        <w:t xml:space="preserve">Kattfotslav </w:t>
      </w:r>
      <w:r>
        <w:t xml:space="preserve">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Kattfotslav är typisk art för </w:t>
      </w:r>
      <w:r>
        <w:rPr>
          <w:i/>
        </w:rPr>
        <w:t xml:space="preserve">9010 Taiga, 9160 Näringsrik ekskog </w:t>
      </w:r>
      <w:r>
        <w:t>och</w:t>
      </w:r>
      <w:r>
        <w:rPr>
          <w:i/>
        </w:rPr>
        <w:t xml:space="preserve"> 9190 Näringsfattig ekskog</w:t>
      </w:r>
      <w:r>
        <w:t>. Arten har minskat kraftigt under de senaste åren och enligt artdatabankens preliminära bedömning kommer den att bli rödlistad som nära hotad (NT) i nästa rödlista som kommer 2026 (Nitare &amp; Skogsstyrelsen, 2019; SLU Artdatabanken, 2025).</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Svart trolldruva är typisk art för </w:t>
      </w:r>
      <w:r>
        <w:rPr>
          <w:i/>
        </w:rPr>
        <w:t>9050 Näringsrik granskog,</w:t>
      </w:r>
      <w:r>
        <w:t xml:space="preserve"> </w:t>
      </w:r>
      <w:r>
        <w:rPr>
          <w:i/>
        </w:rPr>
        <w:t xml:space="preserve">9020 Nordlig ädellövskog, 9160 Näringsrik ekskog, 9180 Ädellövskog i branter </w:t>
      </w:r>
      <w:r>
        <w:t>och</w:t>
      </w:r>
      <w:r>
        <w:rPr>
          <w:i/>
        </w:rPr>
        <w:t xml:space="preserve"> 1610 Åsöar i Östersjön</w:t>
      </w:r>
      <w:r>
        <w:t xml:space="preserve"> (SLU Artdatabanken, 2024; Nitare &amp; Skogsstyrelsen, 2019).</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