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39364-2026 i Hjo kommun</w:t>
      </w:r>
    </w:p>
    <w:p>
      <w:r>
        <w:t>Denna tillsynsbegäran behandlar höga naturvärden i avverkningsanmälan A 39364-2026 i Hjo kommun som inkom 2026-09-23 och omfattar 10,6 ha.</w:t>
      </w:r>
    </w:p>
    <w:p>
      <w:pPr>
        <w:pStyle w:val="Caption"/>
      </w:pPr>
      <w:r>
        <w:drawing>
          <wp:inline xmlns:a="http://schemas.openxmlformats.org/drawingml/2006/main" xmlns:pic="http://schemas.openxmlformats.org/drawingml/2006/picture">
            <wp:extent cx="5486400" cy="4200584"/>
            <wp:docPr id="1" name="Picture 1"/>
            <wp:cNvGraphicFramePr>
              <a:graphicFrameLocks noChangeAspect="1"/>
            </wp:cNvGraphicFramePr>
            <a:graphic>
              <a:graphicData uri="http://schemas.openxmlformats.org/drawingml/2006/picture">
                <pic:pic>
                  <pic:nvPicPr>
                    <pic:cNvPr id="0" name="A 39364-2026 karta.png"/>
                    <pic:cNvPicPr/>
                  </pic:nvPicPr>
                  <pic:blipFill>
                    <a:blip r:embed="rId16"/>
                    <a:stretch>
                      <a:fillRect/>
                    </a:stretch>
                  </pic:blipFill>
                  <pic:spPr>
                    <a:xfrm>
                      <a:off x="0" y="0"/>
                      <a:ext cx="5486400" cy="420058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6458553, E 454015 i SWEREF 99 TM.</w:t>
      </w:r>
    </w:p>
    <w:p>
      <w:r>
        <w:t>Inom 21 meter från avverkningsanmälan finns fynd av 7 naturvårdsarter, varav 4 är rödlistade, 2 är fridlysta, 3 är typiska (T) och 2 är signalarter (S): brunlångöra (NT, §4a), dropptaggsvamp (NT, T), motaggsvamp (NT, T), skarp dropptaggsvamp (NT), fransig jordstjärna (S), grovticka (S, T)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