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50775-2025 i Falköpings kommun</w:t>
      </w:r>
    </w:p>
    <w:p>
      <w:r>
        <w:t>Detta dokument behandlar höga naturvärden i avverkningsanmälan A 50775-2025 i Falköpings kommun. Denna avverkningsanmälan inkom 2025-10-16 00:00:00 och omfattar 17,5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tornseglare (EN, §4), hussvala (VU, §4), björktrast (NT, §4), buskskvätta (NT, §4), entita (NT, §4), fjällvråk (NT, §4), flodsångare (NT, §4), klofibbla (NT), kråka (NT, §4), mindre hackspett (NT, §4), rosenfink (NT, §4), rödvingetrast (NT, §4), skrattmås (NT, §4), svartvit flugsnappare (NT, §4), ärtsångare (NT, §4), åkerkulla (NT), strutbräken (S), åkergroda (§4a), vanlig groda (§6), vanlig padda (§6)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76652"/>
            <wp:docPr id="1" name="Picture 1"/>
            <wp:cNvGraphicFramePr>
              <a:graphicFrameLocks noChangeAspect="1"/>
            </wp:cNvGraphicFramePr>
            <a:graphic>
              <a:graphicData uri="http://schemas.openxmlformats.org/drawingml/2006/picture">
                <pic:pic>
                  <pic:nvPicPr>
                    <pic:cNvPr id="0" name="A 50775-2025 karta.png"/>
                    <pic:cNvPicPr/>
                  </pic:nvPicPr>
                  <pic:blipFill>
                    <a:blip r:embed="rId16"/>
                    <a:stretch>
                      <a:fillRect/>
                    </a:stretch>
                  </pic:blipFill>
                  <pic:spPr>
                    <a:xfrm>
                      <a:off x="0" y="0"/>
                      <a:ext cx="5486400" cy="3376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6446574, E 413739 i SWEREF 99 TM.</w:t>
      </w:r>
    </w:p>
    <w:p>
      <w:r>
        <w:rPr>
          <w:b/>
        </w:rPr>
        <w:t xml:space="preserve">Strutbräken </w:t>
      </w:r>
      <w:r>
        <w:t>är normalt en mycket bra och tydlig signalart som visar på flera olika fuktiga biotoper med rörligt markvatten som nästan alltid har höga naturvärden. Den växer på skuggiga, fuktiga, näringsrika mullmarker längs bäckdalar, åar, älvar, översilade sluttningar med högörtsgranskog och svämlövskogar med kortvarigt översvämmade sedimentplan. Växtplatserna har ytligt rörligt markvatten och konstant hög luftfuktighet. Arten är känslig för avverkning och dikning (Nitare &amp; Skogsstyrelsen, 2019).</w:t>
      </w:r>
    </w:p>
    <w:p>
      <w:pPr>
        <w:pStyle w:val="Heading1"/>
      </w:pPr>
      <w:r>
        <w:t>Fridlysta arter</w:t>
      </w:r>
    </w:p>
    <w:p>
      <w:r>
        <w:t>Följande fridlysta arter har sina livsmiljöer och växtplatser i den avverkningsanmälda skogen: tornseglare (EN, §4), hussvala (VU, §4), björktrast (NT, §4), buskskvätta (NT, §4), entita (NT, §4), fjällvråk (NT, §4), flodsångare (NT, §4), kråka (NT, §4), mindre hackspett (NT, §4), rosenfink (NT, §4), rödvingetrast (NT, §4), skrattmås (NT, §4), svartvit flugsnappare (NT, §4), ärtsångare (NT, §4), åkergroda (§4a), vanlig groda (§6), vanlig padda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Entita (NT, §4)</w:t>
      </w:r>
      <w:r>
        <w:t>, rödlistad som nära hotad och prioriterad art i Skogsvårdslagen, har häckningsrevir i anmälan. Minskningstakten innevarande 10-årsperiod beräknas till 20 (10–30) %. Entitan är ortstrogen och reviret är i genomsnitt omkring 5 hektar, ibland uppåt 20 hektar stort. Entitan är en utpräglad lövskogsfågel som föredrar flerskiktade, gärna högvuxna skogar med inslag av äldre träd och välutvecklat buskskikt. Även alkärr med videsnår hör till de miljöer som utnyttjas. Arten häckar ofta i skogar som är svagt eller inte alls påverkade av skogsbruk, ofta rör det sig om värdekärnor med höga naturvärden. Entitan missgynnas av konventionellt skogsbruk och dess ortstrohet och dåliga spridningsförmåga gör den känslig för fragmentering (Skogsstyrelsen, 2016, SLU Artdatabanken, 2021).</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Entita – ekologi samt krav på livsmiljön</w:t>
      </w:r>
    </w:p>
    <w:p>
      <w:r>
        <w:t>Entita (NT, §4) är rödlistad som nära hotad, fridlyst och prioriterad art enligt Skogsvårdslagen. Den omfattas av EU:s fågeldirektiv. Minskningstakten har uppgått till 20 (10–30) % under de senaste 10 åren och bedöms vara nära gränsvärdet för Sårbar (VU). (A2b) (SLU Artdatabanken, 2021).</w:t>
      </w:r>
    </w:p>
    <w:p>
      <w:r>
        <w:t>Entitan är en utpräglad lövskogsfågel som påträffas i ädellövskogar, strandskogar, ekhagar, igenväxande hagmarker, lövdungar, parker och trädgårdar. Den föredrar flerskiktade, gärna högvuxna skogar med inslag av äldre träd och med ett välutvecklat buskskikt. Ek- och hasseldominerade skogar och dungar, samt alkärr med videsnår, hör till de miljöer som ofta utnyttjas. I sydligaste Sverige är bokskog en viktig miljö (Skogsstyrelsen, 2016).</w:t>
      </w:r>
    </w:p>
    <w:p>
      <w:r>
        <w:t>Reviren är relativt stora för en småfågel, i genomsnitt omkring 5 hektar men de kan vara upp till 20 hektar. Entitan är en utpräglad stannfågel och rör sig inte långt från kläckningsplatsen; ungfåglarna sprider sig sällan mer än 5 km från födelseplatsen och etablerade fåglar lämnar därefter inte sitt revir (Skogsstyrelsen, 2016). Det häckande paret försvarar sitt revir året runt. De tillåter dock en grupp av ungfåglar att etablera sig inom deras revir och så bildas en vinterflock, vilket sker redan i juni månad. Även under kalla vintrar stannar entitan kvar inom sitt revir. Hittar man entitor vid sitt foderbord beror det på att fågelmatningen ligger inom ett entiterevir (SLU Artdatabanken, 2021). Arten är känslig för fragmentering och har svårt att etablera sig i isolerade skogsområden. Entitan är hålhäckare, men kan inte själv hacka fram sitt hål utan är beroende av miljöer som erbjuder naturliga hål (Skogsstyrelsen, 2016).</w:t>
      </w:r>
    </w:p>
    <w:p>
      <w:r>
        <w:t>Arten häckar ofta i skogar som är svagt eller inte alls påverkade av skogsbruk. Särskilt i Svealand ofta i skogar som har höga naturvärden och utgör skogliga värdekärnor. Entitan missgynnas av konventionellt skogsbruk genom minskad förekomst av risiga, flerskiktade skogar liksom av avverkning av lövträdsrika kantzoner. Entitans ortstrohet och dåliga spridningsförmåga gör den känslig för fragmentering (Skogsstyrelsen, 2016).</w:t>
      </w:r>
    </w:p>
    <w:p>
      <w:pPr>
        <w:pStyle w:val="Heading2"/>
      </w:pPr>
      <w:r>
        <w:t>Referenser – entita</w:t>
      </w:r>
    </w:p>
    <w:p>
      <w:r>
        <w:t xml:space="preserve">Skogsstyrelsen, 2016. </w:t>
      </w:r>
      <w:r>
        <w:rPr>
          <w:i/>
        </w:rPr>
        <w:t xml:space="preserve">Vägledning för hänsyn till entita. </w:t>
      </w:r>
      <w:r>
        <w:t>https://www.skogsstyrelsen.se/globalassets/lag-och-tillsyn/artskydd/vagledningar-for-hansyn-till-faglar/entita-vagledning-hansyn2.pdf</w:t>
      </w:r>
    </w:p>
    <w:p>
      <w:r>
        <w:t xml:space="preserve">SLU Artdatabanken, 2021. </w:t>
      </w:r>
      <w:r>
        <w:rPr>
          <w:i/>
        </w:rPr>
        <w:t xml:space="preserve">Artfaktablad. Naturvård – artfakta. </w:t>
      </w:r>
      <w:r>
        <w:t>SLU Artdatabanken, Uppsala</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