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22630-2025 i Falköpings kommun</w:t>
      </w:r>
    </w:p>
    <w:p>
      <w:r>
        <w:t>Denna tillsynsbegäran behandlar höga naturvärden i avverkningsanmälan A 22630-2025 i Falköpings kommun som inkom 2025-05-12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86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6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8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6436131, E 422637 i SWEREF 99 TM.</w:t>
      </w:r>
    </w:p>
    <w:p>
      <w:r>
        <w:t>I avverkningsanmälan finns fynd av 3 naturvårdsarter, varav 1 är rödlistad, 1 är fridlyst, 1 är typisk (T) och 1 är signalart (S): svinrot (NT), kornknutmossa (S, 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Kornknutmossa</w:t>
      </w:r>
      <w:r>
        <w:t xml:space="preserve"> växer främst på grova lågor i sumpskog och myrkanter och indikerar miljöer med rik och jämn tillgång på fuktigt liggande ved. En typisk växtplats i södra Sverige är naturskogsartad gransumpskog. Samtliga skogsskötselåtgärder på eller i omedelbar närhet av lokalerna utgör ett hot. Fragmenteringen av skogslandskapet liksom minskad mängd död ved är ett långsiktigt hot mot denna art. Kornknutmossa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</w:t>
      </w:r>
      <w:r>
        <w:t xml:space="preserve"> (SLU Artdatabanken, 2024; Nitare &amp; Skogsstyrelsen, 2019).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