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385-2019 i Ki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