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46201-2023 i Eda kommun</w:t>
      </w:r>
    </w:p>
    <w:p>
      <w:r>
        <w:t>Detta dokument behandlar höga naturvärden i avverkningsanmälan A 46201-2023 i Eda kommun. Denna avverkningsanmälan inkom 2023-09-27 och omfattar 17,8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garnlav (NT), lunglav (NT), motaggsvamp (NT), tallticka (NT), vedtrappmossa (NT), bronshjon (S), dropptaggsvamp (S), grönpyrola (S), korallblylav (S), korallrot (S, §8), mindre märgborre (S), skinnlav (S), svart trolldruva (S), vårärt (S) och tjäder (§4). Av dessa är 5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6649742"/>
            <wp:docPr id="1" name="Picture 1"/>
            <wp:cNvGraphicFramePr>
              <a:graphicFrameLocks noChangeAspect="1"/>
            </wp:cNvGraphicFramePr>
            <a:graphic>
              <a:graphicData uri="http://schemas.openxmlformats.org/drawingml/2006/picture">
                <pic:pic>
                  <pic:nvPicPr>
                    <pic:cNvPr id="0" name="A 46201-2023 karta.png"/>
                    <pic:cNvPicPr/>
                  </pic:nvPicPr>
                  <pic:blipFill>
                    <a:blip r:embed="rId16"/>
                    <a:stretch>
                      <a:fillRect/>
                    </a:stretch>
                  </pic:blipFill>
                  <pic:spPr>
                    <a:xfrm>
                      <a:off x="0" y="0"/>
                      <a:ext cx="5486400" cy="6649742"/>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6617941, E 343806 i SWEREF 99 TM.</w:t>
      </w:r>
    </w:p>
    <w:p>
      <w:r>
        <w:rPr>
          <w:b/>
        </w:rPr>
        <w:t>Garnlav (NT)</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Orsaken till tillbakagången beror främst på slutavverkningar av naturskogsartade skogar. Bestånd med riklig förekomst bör regelmässigt sparas.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(SLU Artdatabanken, 2024).</w:t>
      </w:r>
    </w:p>
    <w:p>
      <w:r>
        <w:rPr>
          <w:b/>
        </w:rPr>
        <w:t xml:space="preserve">Grönpyrola </w:t>
      </w:r>
      <w:r>
        <w:t>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Mindre märgborre</w:t>
      </w:r>
      <w:r>
        <w:t xml:space="preserve"> är en signalart för tallskog med höga naturvärden och betraktas tillsammans med skarptandad barkborre (NT) som nyckelarter för ett antal sällsynta åtgärdsprogramsarter som är beroende av deras gångsystem. Bland dessa kan nämnas avlång barkborre (VU), </w:t>
      </w:r>
      <w:r>
        <w:rPr>
          <w:i/>
        </w:rPr>
        <w:t>Corticeus longulus</w:t>
      </w:r>
      <w:r>
        <w:t xml:space="preserve"> (VU), tallbarksvartbagge (VU), tallgångbagge (VU) och cholodkovskys bastborre (NT). Den mindre märgborrens måsvingeliknande gnaggångar är lätta att känna igen och hittas ofta på grova tallgrenar på marken. 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(Pettersson, 2014; Hedgren, 2012; Gunnarsson m fl., 1999).</w:t>
      </w:r>
    </w:p>
    <w:p>
      <w:r>
        <w:rPr>
          <w:b/>
        </w:rPr>
        <w:t xml:space="preserve">Motaggsvamp (NT) </w:t>
      </w:r>
      <w:r>
        <w:t>bildar mykorrhiza med tall i tallskog och hittas huvudsakligen i äldre, glesare skogsbestånd och hällmarksimpediment. Arten hotas främst av skogsavverkning och tycks försvinna efter slutavverkning, markberedning och plantering (SLU Artdatabanken, 2024).</w:t>
      </w:r>
    </w:p>
    <w:p>
      <w:r>
        <w:rPr>
          <w:b/>
        </w:rPr>
        <w:t xml:space="preserve">Skinnlav </w:t>
      </w:r>
      <w:r>
        <w:t>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(Nitare &amp; Skogsstyrelsen, 2019).</w:t>
      </w:r>
    </w:p>
    <w:p>
      <w:r>
        <w:rPr>
          <w:b/>
        </w:rPr>
        <w:t>Svart trolldruva</w:t>
      </w:r>
      <w:r>
        <w:t xml:space="preserve"> är en kalkgynnad växt som förekommer på näringsrik frisk mulljord i såväl bördiga kalkbarrskogar som sydliga kalklövskogar och lundar. Arten är en bra signalart för skyddsvärda biotoper i såväl löv- som barrskogar och tål inte slutavverkning och markberedning. Trolldruva är värdväxt för ett antal sällsynta fjärilsarter som ställer höga krav på sina livsmiljöer, däribland trolldruvemätare (EN), skuggmalmätare (VU) och trolldruvelobmätare (VU) (SLU Artdatabanken, 2024; Nitare &amp; Skogsstyrelsen, 2019).</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r>
        <w:rPr>
          <w:b/>
        </w:rPr>
        <w:t xml:space="preserve">Vedtrappmossa (NT) </w:t>
      </w:r>
      <w:r>
        <w:t>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(SLU Artdatabanken, 2024).</w:t>
      </w:r>
    </w:p>
    <w:p>
      <w:r>
        <w:rPr>
          <w:b/>
        </w:rPr>
        <w:t>Vårärt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rationella skogsbruksmetoder (Nitare &amp; Skogsstyrelsen, 2019).</w:t>
      </w:r>
    </w:p>
    <w:p>
      <w:pPr>
        <w:pStyle w:val="Heading1"/>
      </w:pPr>
      <w:r>
        <w:t>Fridlysta arter</w:t>
      </w:r>
    </w:p>
    <w:p>
      <w:r>
        <w:t>Följande fridlysta arter har sina livsmiljöer och växtplatser i den avverkningsanmälda skogen: korallrot (S, §8)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Arten är fridlyst enligt 8 § artskyddsförordningen (SLU Artdatabanken, 2024; Nitare &amp; Skogsstyrelsen, 2019).</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(NT) som nyckelarter, eftersom en rad sällsynta efterföljande arter är beroende av deras gångsystem. Bland dessa kan nämnas åtgärdsprogramsarterna avlång barkborre (VU), </w:t>
      </w:r>
      <w:r>
        <w:rPr>
          <w:i/>
        </w:rPr>
        <w:t>Corticeus longulus</w:t>
      </w:r>
      <w:r>
        <w:t xml:space="preserve"> (VU), tallbarksvartbagge (VU), tallgångbagge (VU) och cholodkovskys bastborre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(NT). De barkborrar som missgynnas av större märgborre är i mycket högre grad gynnade av tallar som dör genom självgallring, dvs. i normalfallet skog som inte används till skogsproduktion (Pettersson, 2014; Wikars, skriftl.).</w:t>
      </w:r>
    </w:p>
    <w:p>
      <w:r>
        <w:t>Rika förekomster av främst mindre märgborre men även skarptandad barkborre (NT)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(Pettersson, 2014).</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