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42165-2023 i Eda kommun</w:t>
      </w:r>
    </w:p>
    <w:p>
      <w:r>
        <w:t>Detta klagomål behandlar höga naturvärden i avverkningsanmälan A 42165-2023 i Eda kommun som inkom 2023-09-09 och omfattar 15,6 ha.</w:t>
      </w:r>
    </w:p>
    <w:p>
      <w:pPr>
        <w:pStyle w:val="Caption"/>
      </w:pPr>
      <w:r>
        <w:drawing>
          <wp:inline xmlns:a="http://schemas.openxmlformats.org/drawingml/2006/main" xmlns:pic="http://schemas.openxmlformats.org/drawingml/2006/picture">
            <wp:extent cx="5486400" cy="5034823"/>
            <wp:docPr id="1" name="Picture 1"/>
            <wp:cNvGraphicFramePr>
              <a:graphicFrameLocks noChangeAspect="1"/>
            </wp:cNvGraphicFramePr>
            <a:graphic>
              <a:graphicData uri="http://schemas.openxmlformats.org/drawingml/2006/picture">
                <pic:pic>
                  <pic:nvPicPr>
                    <pic:cNvPr id="0" name="A 42165-2023 karta.png"/>
                    <pic:cNvPicPr/>
                  </pic:nvPicPr>
                  <pic:blipFill>
                    <a:blip r:embed="rId16"/>
                    <a:stretch>
                      <a:fillRect/>
                    </a:stretch>
                  </pic:blipFill>
                  <pic:spPr>
                    <a:xfrm>
                      <a:off x="0" y="0"/>
                      <a:ext cx="5486400" cy="50348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6611613, E 345986 i SWEREF 99 TM.</w:t>
      </w:r>
    </w:p>
    <w:p>
      <w:r>
        <w:t>I avverkningsanmälan finns fynd av 16 naturvårdsarter, varav 4 är rödlistade, 2 är fridlysta, 12 är typiska (T) och 11 är signalarter (S): garnlav (VU, T), kattfotslav (NT, T), tretåig hackspett (NT, T, §4), vedtrappmossa (NT, T), aspvedgnagare (S), blek stjärnmossa (S, T), blåsfliksmossa (S, T), klippfrullania (S, T), korallblylav (S, T), mörk husmossa (S, T), skogshakmossa (S, T), stor revmossa (S), thomsons trägnagare (S), vedticka (S, T), vågbandad barkbock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