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 och inom 4 meter från avverkningsanmälan finns fynd av 14 naturvårdsarter, varav 12 är rödlistade, 1 är fridlyst, 11 är typiska (T) och 2 är signalarter (S): garnlav (VU, T), dropptaggsvamp (NT, T), dvärgbägarlav (NT, T), kolflarnlav (NT, T), kortskaftad ärgspik (NT), lunglav (NT, T), mörk kolflarnlav (NT), tretåig hackspett (NT, T, §4), vedflamlav (NT), vedskivlav (NT, T), vedtrappmossa (NT, T), violettgrå tagellav (NT, T), luddlav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