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som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dvärgbägarlav (NT, T), gammelgransskål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