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20818-2025 i Torsby kommun</w:t>
      </w:r>
    </w:p>
    <w:p>
      <w:r>
        <w:t>Detta klagomål behandlar höga naturvärden i avverkningsanmälan A 20818-2025 i Torsby kommun som inkom 2025-04-29 och omfattar 13,9 ha.</w:t>
      </w:r>
    </w:p>
    <w:p>
      <w:pPr>
        <w:pStyle w:val="Caption"/>
      </w:pPr>
      <w:r>
        <w:drawing>
          <wp:inline xmlns:a="http://schemas.openxmlformats.org/drawingml/2006/main" xmlns:pic="http://schemas.openxmlformats.org/drawingml/2006/picture">
            <wp:extent cx="5486400" cy="4962270"/>
            <wp:docPr id="1" name="Picture 1"/>
            <wp:cNvGraphicFramePr>
              <a:graphicFrameLocks noChangeAspect="1"/>
            </wp:cNvGraphicFramePr>
            <a:graphic>
              <a:graphicData uri="http://schemas.openxmlformats.org/drawingml/2006/picture">
                <pic:pic>
                  <pic:nvPicPr>
                    <pic:cNvPr id="0" name="A 20818-2025 karta.png"/>
                    <pic:cNvPicPr/>
                  </pic:nvPicPr>
                  <pic:blipFill>
                    <a:blip r:embed="rId16"/>
                    <a:stretch>
                      <a:fillRect/>
                    </a:stretch>
                  </pic:blipFill>
                  <pic:spPr>
                    <a:xfrm>
                      <a:off x="0" y="0"/>
                      <a:ext cx="5486400" cy="49622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6701452, E 410131 i SWEREF 99 TM.</w:t>
      </w:r>
    </w:p>
    <w:p>
      <w:r>
        <w:t>I avverkningsanmälan finns fynd av 16 naturvårdsarter, varav 11 är rödlistade, 2 är fridlysta, 13 är typiska (T) och 5 är signalarter (S): garnlav (VU, T), knärot (VU, T, §8), dvärgbägarlav (NT, T), kortskaftad ärgspik (NT), lunglav (NT, T), oljetagging (NT), skrovellav (NT, T), stiftgelélav (NT, T), tretåig hackspett (NT, T, §4), vedskivlav (NT, T), vedtrappmossa (NT, T), barkticka (S, T), bårdlav (S, T), korallblylav (S, T), stuplav (S, T) och traslav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717173"/>
            <wp:docPr id="2" name="Picture 2"/>
            <wp:cNvGraphicFramePr>
              <a:graphicFrameLocks noChangeAspect="1"/>
            </wp:cNvGraphicFramePr>
            <a:graphic>
              <a:graphicData uri="http://schemas.openxmlformats.org/drawingml/2006/picture">
                <pic:pic>
                  <pic:nvPicPr>
                    <pic:cNvPr id="0" name="A 20818-2025 karta knärot.png"/>
                    <pic:cNvPicPr/>
                  </pic:nvPicPr>
                  <pic:blipFill>
                    <a:blip r:embed="rId17"/>
                    <a:stretch>
                      <a:fillRect/>
                    </a:stretch>
                  </pic:blipFill>
                  <pic:spPr>
                    <a:xfrm>
                      <a:off x="0" y="0"/>
                      <a:ext cx="5486400" cy="47171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6701452, E 410131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