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samt flera andra sällsynta och rödlistade lavar, däribland en annan lavparasit, </w:t>
      </w:r>
      <w:r>
        <w:rPr>
          <w:i/>
        </w:rPr>
        <w:t>Catillaria lobariicola</w:t>
      </w:r>
      <w:r>
        <w:t xml:space="preserve"> (VU), som också är knuten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en annan lavparasit, </w:t>
      </w:r>
      <w:r>
        <w:rPr>
          <w:i/>
        </w:rPr>
        <w:t>Catillaria lobariicola</w:t>
      </w:r>
      <w:r>
        <w:t xml:space="preserve"> (VU), som också är knuten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