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som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gammelgransskål (NT, T), tretåig hackspett (NT, T, §4),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