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samt flera andra sällsynta och rödlistade lavar, däribland en annan lavparasit, </w:t>
      </w:r>
      <w:r>
        <w:rPr>
          <w:i/>
        </w:rPr>
        <w:t>Catillaria lobariicola</w:t>
      </w:r>
      <w:r>
        <w:t xml:space="preserve"> (VU), som också är knuten till skrovellav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en annan lavparasit, </w:t>
      </w:r>
      <w:r>
        <w:rPr>
          <w:i/>
        </w:rPr>
        <w:t>Catillaria lobariicola</w:t>
      </w:r>
      <w:r>
        <w:t xml:space="preserve"> (VU), som också är knuten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