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61021-2024 i Torsby kommun</w:t>
      </w:r>
    </w:p>
    <w:p>
      <w:r>
        <w:t>Detta klagomål behandlar höga naturvärden i avverkningsanmälan A 61021-2024 i Torsby kommun som inkom 2024-12-19 och omfattar 15,1 ha.</w:t>
      </w:r>
    </w:p>
    <w:p>
      <w:pPr>
        <w:pStyle w:val="Caption"/>
      </w:pPr>
      <w:r>
        <w:drawing>
          <wp:inline xmlns:a="http://schemas.openxmlformats.org/drawingml/2006/main" xmlns:pic="http://schemas.openxmlformats.org/drawingml/2006/picture">
            <wp:extent cx="5486400" cy="2435886"/>
            <wp:docPr id="1" name="Picture 1"/>
            <wp:cNvGraphicFramePr>
              <a:graphicFrameLocks noChangeAspect="1"/>
            </wp:cNvGraphicFramePr>
            <a:graphic>
              <a:graphicData uri="http://schemas.openxmlformats.org/drawingml/2006/picture">
                <pic:pic>
                  <pic:nvPicPr>
                    <pic:cNvPr id="0" name="A 61021-2024 karta.png"/>
                    <pic:cNvPicPr/>
                  </pic:nvPicPr>
                  <pic:blipFill>
                    <a:blip r:embed="rId16"/>
                    <a:stretch>
                      <a:fillRect/>
                    </a:stretch>
                  </pic:blipFill>
                  <pic:spPr>
                    <a:xfrm>
                      <a:off x="0" y="0"/>
                      <a:ext cx="5486400" cy="24358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6697943, E 397725 i SWEREF 99 TM.</w:t>
      </w:r>
    </w:p>
    <w:p>
      <w:r>
        <w:t>I och inom 25 meter från avverkningsanmälan finns fynd av 28 naturvårdsarter, varav 22 är rödlistade, 5 är fridlysta, 20 är typiska (T) och 4 är signalarter (S): garnlav (VU, T), gränsticka (VU, T), knärot (VU, T, §8), raggbock (VU, T), dropptaggsvamp (NT, T), dvärgbägarlav (NT, T), gammelgransskål (NT, T), kattfotslav (NT, T), kolflarnlav (NT, T), kortskaftad ärgspik (NT), lunglav (NT, T), mörk kolflarnlav (NT), rynkskinn (NT, T), skarp dropptaggsvamp (NT), skuggblåslav (NT, T), talltita (NT, §4), tretåig hackspett (NT, T, §4), ullticka (NT, T), vedflamlav (NT), vedskivlav (NT, T), vedtrappmossa (NT, T), violettgrå tagellav (NT, T), jättesvampmal (S), korallblylav (S, T), nästlav (S, T),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2.95 ha med buffertzonerna och får av detta skäl inte avverkas.</w:t>
      </w:r>
    </w:p>
    <w:p>
      <w:pPr>
        <w:pStyle w:val="Caption"/>
      </w:pPr>
      <w:r>
        <w:drawing>
          <wp:inline xmlns:a="http://schemas.openxmlformats.org/drawingml/2006/main" xmlns:pic="http://schemas.openxmlformats.org/drawingml/2006/picture">
            <wp:extent cx="5486400" cy="1589359"/>
            <wp:docPr id="2" name="Picture 2"/>
            <wp:cNvGraphicFramePr>
              <a:graphicFrameLocks noChangeAspect="1"/>
            </wp:cNvGraphicFramePr>
            <a:graphic>
              <a:graphicData uri="http://schemas.openxmlformats.org/drawingml/2006/picture">
                <pic:pic>
                  <pic:nvPicPr>
                    <pic:cNvPr id="0" name="A 61021-2024 karta knärot.png"/>
                    <pic:cNvPicPr/>
                  </pic:nvPicPr>
                  <pic:blipFill>
                    <a:blip r:embed="rId17"/>
                    <a:stretch>
                      <a:fillRect/>
                    </a:stretch>
                  </pic:blipFill>
                  <pic:spPr>
                    <a:xfrm>
                      <a:off x="0" y="0"/>
                      <a:ext cx="5486400" cy="15893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6697943, E 397725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