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22621-2025 i Torsby kommun</w:t>
      </w:r>
    </w:p>
    <w:p>
      <w:r>
        <w:t>Denna tillsynsbegäran behandlar höga naturvärden i avverkningsanmälan A 22621-2025 i Torsby kommun som inkom 2025-05-12 och omfattar 17,1 ha.</w:t>
      </w:r>
    </w:p>
    <w:p>
      <w:pPr>
        <w:pStyle w:val="Caption"/>
      </w:pPr>
      <w:r>
        <w:drawing>
          <wp:inline xmlns:a="http://schemas.openxmlformats.org/drawingml/2006/main" xmlns:pic="http://schemas.openxmlformats.org/drawingml/2006/picture">
            <wp:extent cx="5486400" cy="4417660"/>
            <wp:docPr id="1" name="Picture 1"/>
            <wp:cNvGraphicFramePr>
              <a:graphicFrameLocks noChangeAspect="1"/>
            </wp:cNvGraphicFramePr>
            <a:graphic>
              <a:graphicData uri="http://schemas.openxmlformats.org/drawingml/2006/picture">
                <pic:pic>
                  <pic:nvPicPr>
                    <pic:cNvPr id="0" name="A 22621-2025 karta.png"/>
                    <pic:cNvPicPr/>
                  </pic:nvPicPr>
                  <pic:blipFill>
                    <a:blip r:embed="rId16"/>
                    <a:stretch>
                      <a:fillRect/>
                    </a:stretch>
                  </pic:blipFill>
                  <pic:spPr>
                    <a:xfrm>
                      <a:off x="0" y="0"/>
                      <a:ext cx="5486400" cy="441766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6744303, E 377438 i SWEREF 99 TM.</w:t>
      </w:r>
    </w:p>
    <w:p>
      <w:r>
        <w:t>I och inom 22 meter från avverkningsanmälan finns fynd av 12 naturvårdsarter, varav 11 är rödlistade, 9 är typiska (T) och 1 är signalart (S): garnlav (VU, T), dropptaggsvamp (NT, T), dvärgbägarlav (NT, T), gammelgransskål (NT, T), kolflarnlav (NT, T), mörk kolflarnlav (NT), vaddporing (NT), vedflamlav (NT), vedskivlav (NT, T), vedtrappmossa (NT, 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gammelgransskål (NT, T), kolflarnlav (NT, T), vedskivlav (NT, T), vedtrappmossa (NT, T), violettgrå tagellav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