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25212-2025 i Torsby kommun</w:t>
      </w:r>
    </w:p>
    <w:p>
      <w:r>
        <w:t>Detta dokument behandlar höga naturvärden i avverkningsanmälan A 25212-2025 i Torsby kommun. Denna avverkningsanmälan inkom 2025-05-23 00:00:00 och omfattar 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bombmurkla (VU, §8) och vedticka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95374"/>
            <wp:docPr id="1" name="Picture 1"/>
            <wp:cNvGraphicFramePr>
              <a:graphicFrameLocks noChangeAspect="1"/>
            </wp:cNvGraphicFramePr>
            <a:graphic>
              <a:graphicData uri="http://schemas.openxmlformats.org/drawingml/2006/picture">
                <pic:pic>
                  <pic:nvPicPr>
                    <pic:cNvPr id="0" name="A 25212-2025 karta.png"/>
                    <pic:cNvPicPr/>
                  </pic:nvPicPr>
                  <pic:blipFill>
                    <a:blip r:embed="rId16"/>
                    <a:stretch>
                      <a:fillRect/>
                    </a:stretch>
                  </pic:blipFill>
                  <pic:spPr>
                    <a:xfrm>
                      <a:off x="0" y="0"/>
                      <a:ext cx="5486400" cy="66953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6692810, E 393227 i SWEREF 99 TM.</w:t>
      </w:r>
    </w:p>
    <w:p>
      <w:pPr>
        <w:pStyle w:val="Heading1"/>
      </w:pPr>
      <w:r>
        <w:t>Fridlysta arter</w:t>
      </w:r>
    </w:p>
    <w:p>
      <w:r>
        <w:t>Följande fridlysta arter har sina livsmiljöer och växtplatser i den avverkningsanmälda skogen: bombmurkla (VU, §8).</w:t>
      </w:r>
    </w:p>
    <w:p>
      <w:r>
        <w:rPr>
          <w:b/>
        </w:rPr>
        <w:t xml:space="preserve">Bombmurkla (VU, §8) </w:t>
      </w:r>
      <w:r>
        <w:t>indikerar en speciell och hotad granskogstyp på naturligt näringsrika sandjordar och är placerad högst upp i Skogsstyrelsens värdepyramid för bedömning av skog med höga naturvärden. Den tål inte slutavverkning eller kraftig gallring och är endast påträffad i områden som har långvarig skogskontinuitet med gran. Bombmurkla är fridlyst enligt 8 § artskyddsförordningen, omfattas av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2024; Nitare &amp; Skogsstyrelsen, 2019; Naturvårdsverket, 2010).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