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61251-2024 i Torsby kommun</w:t>
      </w:r>
    </w:p>
    <w:p>
      <w:r>
        <w:t>Detta klagomål behandlar höga naturvärden i avverkningsanmälan A 61251-2024 i Torsby kommun som inkom 2024-12-19 och omfattar 1,7 ha.</w:t>
      </w:r>
    </w:p>
    <w:p>
      <w:pPr>
        <w:pStyle w:val="Caption"/>
      </w:pPr>
      <w:r>
        <w:drawing>
          <wp:inline xmlns:a="http://schemas.openxmlformats.org/drawingml/2006/main" xmlns:pic="http://schemas.openxmlformats.org/drawingml/2006/picture">
            <wp:extent cx="5486400" cy="5669540"/>
            <wp:docPr id="1" name="Picture 1"/>
            <wp:cNvGraphicFramePr>
              <a:graphicFrameLocks noChangeAspect="1"/>
            </wp:cNvGraphicFramePr>
            <a:graphic>
              <a:graphicData uri="http://schemas.openxmlformats.org/drawingml/2006/picture">
                <pic:pic>
                  <pic:nvPicPr>
                    <pic:cNvPr id="0" name="A 61251-2024 karta.png"/>
                    <pic:cNvPicPr/>
                  </pic:nvPicPr>
                  <pic:blipFill>
                    <a:blip r:embed="rId16"/>
                    <a:stretch>
                      <a:fillRect/>
                    </a:stretch>
                  </pic:blipFill>
                  <pic:spPr>
                    <a:xfrm>
                      <a:off x="0" y="0"/>
                      <a:ext cx="5486400" cy="5669540"/>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6706411, E 399316 i SWEREF 99 TM.</w:t>
      </w:r>
    </w:p>
    <w:p>
      <w:r>
        <w:t>Inom 23 meter från avverkningsanmälan finns fynd av 1 naturvårdsarter, varav 1 är rödlistad: späd bäckmossa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Späd bäckmossa (NT)</w:t>
      </w:r>
      <w:r>
        <w:t xml:space="preserve"> är en sällsynt art som växer på stenar och block i mindre, något rikare skogsbäckar i låglandet. Den är rödlistad som sårbar (VU) i den europeiska rödlistan och omfattas av EU:s art- och habitatdirektiv där dess bevarandestatus är otillfredsställande. Artens aktuella lokaler måste ges ett ändamålsenligt skydd och bevakas av berörda myndigheter, så att de inte påverkas negativt av skogsbruk eller annan markanvändning. Vid eventuell skogsavverkning är det viktigt att betydande hänsyn tas intill förekomsterna av arten. (SLU Artdatabanken, 2024; IUCN,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