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34930-2022 i Torsby kommun</w:t>
      </w:r>
    </w:p>
    <w:p>
      <w:r>
        <w:t>Detta klagomål behandlar höga naturvärden i avverkningsanmälan A 34930-2022 i Torsby kommun som inkom 2022-08-23 och omfattar 3,3 ha.</w:t>
      </w:r>
    </w:p>
    <w:p>
      <w:pPr>
        <w:pStyle w:val="Caption"/>
      </w:pPr>
      <w:r>
        <w:drawing>
          <wp:inline xmlns:a="http://schemas.openxmlformats.org/drawingml/2006/main" xmlns:pic="http://schemas.openxmlformats.org/drawingml/2006/picture">
            <wp:extent cx="5486400" cy="5617672"/>
            <wp:docPr id="1" name="Picture 1"/>
            <wp:cNvGraphicFramePr>
              <a:graphicFrameLocks noChangeAspect="1"/>
            </wp:cNvGraphicFramePr>
            <a:graphic>
              <a:graphicData uri="http://schemas.openxmlformats.org/drawingml/2006/picture">
                <pic:pic>
                  <pic:nvPicPr>
                    <pic:cNvPr id="0" name="A 34930-2022 karta.png"/>
                    <pic:cNvPicPr/>
                  </pic:nvPicPr>
                  <pic:blipFill>
                    <a:blip r:embed="rId16"/>
                    <a:stretch>
                      <a:fillRect/>
                    </a:stretch>
                  </pic:blipFill>
                  <pic:spPr>
                    <a:xfrm>
                      <a:off x="0" y="0"/>
                      <a:ext cx="5486400" cy="561767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6683543, E 411756 i SWEREF 99 TM.</w:t>
      </w:r>
    </w:p>
    <w:p>
      <w:r>
        <w:t>I och inom 10 meter från avverkningsanmälan finns fynd av 4 naturvårdsarter, varav 1 är rödlistad, 3 är typiska (T) och 3 är signalarter (S): späd bäckmossa (NT), mörk husmossa (S, T), strutbräken (S, T) och terpentinmossa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Späd bäckmossa (NT)</w:t>
      </w:r>
      <w:r>
        <w:t xml:space="preserve"> är en sällsynt art som växer på stenar och block i mindre, något rikare skogsbäckar i låglandet. Den är rödlistad som sårbar (VU) i den europeiska rödlistan och omfattas av EU:s art- och habitatdirektiv där dess bevarandestatus är otillfredsställande. Artens aktuella lokaler måste ges ett ändamålsenligt skydd och bevakas av berörda myndigheter, så att de inte påverkas negativt av skogsbruk eller annan markanvändning. Vid eventuell skogsavverkning är det viktigt att betydande hänsyn tas intill förekomsterna av arten. (SLU Artdatabanken, 2024; IUCN,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Terpentinmossa</w:t>
      </w:r>
      <w:r>
        <w:t xml:space="preserve"> signalerar alltid biotoper med höga naturvärden och dess lokaler bör alltid uppmärksammas som nyckelbiotoper. Den indikerar områden med konstant beskuggning och god tillgång på murken, fuktig ved och tål inte avverkning och markberedning. Sverige har ett internationellt ansvar för arten, då en relativt stor andel av den europeiska populationen troligen finns i vårt land. Terpentinmossa är rödlistad som nära hotad (NT) på den europeiska rödlistan och typisk art för </w:t>
      </w:r>
      <w:r>
        <w:rPr>
          <w:i/>
        </w:rPr>
        <w:t xml:space="preserve">9010 Taiga, 9080 Lövsumpskog </w:t>
      </w:r>
      <w:r>
        <w:t xml:space="preserve">och </w:t>
      </w:r>
      <w:r>
        <w:rPr>
          <w:i/>
        </w:rPr>
        <w:t>9750 Svämlövskog</w:t>
      </w:r>
      <w:r>
        <w:t xml:space="preserve"> (Nitare &amp; Skogsstyrelsen, 2019; IUCN,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