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18304-2024 i Torsby kommun</w:t>
      </w:r>
    </w:p>
    <w:p>
      <w:r>
        <w:t>Detta dokument behandlar höga naturvärden i avverkningsanmälan A 18304-2024 i Torsby kommun. Denna avverkningsanmälan inkom 2024-05-10 00:00:00 och omfattar 41,5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44 naturvårdsarter hittats: grynig gelélav (EN), skrovellavsknapp (EN), fläckporing (VU), gräddporing (VU), spadskinn (VU), blanksvart spiklav (NT), blå taggsvamp (NT), dvärgbägarlav (NT), gammelgransskål (NT), garnlav (NT), kolflarnlav (NT), kortskaftad ärgspik (NT), lunglav (NT), motaggsvamp (NT), mörk kolflarnlav (NT), nordtagging (NT), reliktbock (NT), skrovellav (NT), skrovlig flatbagge (NT), spillkråka (NT, §4), svart taggsvamp (NT), svartvit taggsvamp (NT), tallticka (NT), talltita (NT, §4), tretåig hackspett (NT, §4), vaxspindling (NT), veckticka (NT), vedskivlav (NT), vedtrappmossa (NT), violettgrå tagellav (NT), vitgrynig nållav (NT), vitplätt (NT), barkticka (S), bronshjon (S), bårdlav (S), dropptaggsvamp (S), dvärgtufs (S), grovticka (S), grönpyrola (S), korallblylav (S), nästlav (S), skinnlav (S), skuggblåslav (S) och vanlig flatbagge (S).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6707684, E 412185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Grynig gelélav (EN)</w:t>
      </w:r>
      <w:r>
        <w:t xml:space="preserve"> är en starkt hotad art som växer på slätbarkiga senvuxna lövträd i fuktiga och skuggiga miljöer, mest lönn och ask i sydvästra Sverige samt asp och sälg i norra Sverige. Den är placerad högst upp i Skogsstyrelsens värdepyramid för bedömning av skog med höga naturvärden och alla lokaler bör skyddas. Genom att även andra rödlistade lavarter ofta förekommer på samma lokaler är dessa mycket skyddsvärda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