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61021-2024 i Torsby kommun</w:t>
      </w:r>
    </w:p>
    <w:p>
      <w:r>
        <w:t>Denna tillsynsbegäran behandlar höga naturvärden i avverkningsanmälan A 61021-2024 i Torsby kommun som inkom 2024-12-19 och omfattar 15,1 ha.</w:t>
      </w:r>
    </w:p>
    <w:p>
      <w:pPr>
        <w:pStyle w:val="Caption"/>
      </w:pPr>
      <w:r>
        <w:drawing>
          <wp:inline xmlns:a="http://schemas.openxmlformats.org/drawingml/2006/main" xmlns:pic="http://schemas.openxmlformats.org/drawingml/2006/picture">
            <wp:extent cx="5486400" cy="2435886"/>
            <wp:docPr id="1" name="Picture 1"/>
            <wp:cNvGraphicFramePr>
              <a:graphicFrameLocks noChangeAspect="1"/>
            </wp:cNvGraphicFramePr>
            <a:graphic>
              <a:graphicData uri="http://schemas.openxmlformats.org/drawingml/2006/picture">
                <pic:pic>
                  <pic:nvPicPr>
                    <pic:cNvPr id="0" name="A 61021-2024 karta.png"/>
                    <pic:cNvPicPr/>
                  </pic:nvPicPr>
                  <pic:blipFill>
                    <a:blip r:embed="rId16"/>
                    <a:stretch>
                      <a:fillRect/>
                    </a:stretch>
                  </pic:blipFill>
                  <pic:spPr>
                    <a:xfrm>
                      <a:off x="0" y="0"/>
                      <a:ext cx="5486400" cy="243588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6697943, E 397725 i SWEREF 99 TM.</w:t>
      </w:r>
    </w:p>
    <w:p>
      <w:r>
        <w:t>I och inom 25 meter från avverkningsanmälan finns fynd av 28 naturvårdsarter, varav 22 är rödlistade, 5 är fridlysta, 20 är typiska (T) och 4 är signalarter (S): garnlav (VU, T), gränsticka (VU, T), knärot (VU, T, §8), raggbock (VU, T), dropptaggsvamp (NT, T), dvärgbägarlav (NT, T), gammelgransskål (NT, T), kattfotslav (NT, T), kolflarnlav (NT, T), kortskaftad ärgspik (NT), lunglav (NT, T), mörk kolflarnlav (NT), rynkskinn (NT, T), skarp dropptaggsvamp (NT), skuggblåslav (NT, T), talltita (NT, §4), tretåig hackspett (NT, T, §4), ullticka (NT, T), vedflamlav (NT), vedskivlav (NT, T), vedtrappmossa (NT, T), violettgrå tagellav (NT, T), jättesvampmal (S), korallblylav (S, T), nästlav (S, T), vedticka (S, T),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2.95 ha med buffertzonerna och får av detta skäl inte avverkas.</w:t>
      </w:r>
    </w:p>
    <w:p>
      <w:pPr>
        <w:pStyle w:val="Caption"/>
      </w:pPr>
      <w:r>
        <w:drawing>
          <wp:inline xmlns:a="http://schemas.openxmlformats.org/drawingml/2006/main" xmlns:pic="http://schemas.openxmlformats.org/drawingml/2006/picture">
            <wp:extent cx="5486400" cy="1589359"/>
            <wp:docPr id="2" name="Picture 2"/>
            <wp:cNvGraphicFramePr>
              <a:graphicFrameLocks noChangeAspect="1"/>
            </wp:cNvGraphicFramePr>
            <a:graphic>
              <a:graphicData uri="http://schemas.openxmlformats.org/drawingml/2006/picture">
                <pic:pic>
                  <pic:nvPicPr>
                    <pic:cNvPr id="0" name="A 61021-2024 karta knärot.png"/>
                    <pic:cNvPicPr/>
                  </pic:nvPicPr>
                  <pic:blipFill>
                    <a:blip r:embed="rId17"/>
                    <a:stretch>
                      <a:fillRect/>
                    </a:stretch>
                  </pic:blipFill>
                  <pic:spPr>
                    <a:xfrm>
                      <a:off x="0" y="0"/>
                      <a:ext cx="5486400" cy="158935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6697943, E 397725 i SWEREF 99 TM.</w:t>
      </w:r>
    </w:p>
    <w:p>
      <w:r>
        <w:rPr>
          <w:b/>
        </w:rPr>
        <w:t>Raggbock (VU)</w:t>
      </w:r>
      <w:r>
        <w:t xml:space="preserve"> är en brandgynnad skalbagge vars larvutveckling sker i äldre, liggande, solexponerade stammar av tall, mer sällan gran. Raggbock ingår i ett åtgärdsprogram för hotade arter (ÅGP) och den är rödlistad som nära hotad (NT) i den europeiska rödlistan. Raggbock är typisk art för </w:t>
      </w:r>
      <w:r>
        <w:rPr>
          <w:i/>
        </w:rPr>
        <w:t>9010 Taiga</w:t>
      </w:r>
      <w:r>
        <w:t xml:space="preserve"> och</w:t>
      </w:r>
      <w:r>
        <w:rPr>
          <w:i/>
        </w:rPr>
        <w:t xml:space="preserve"> 9060 Åsbarrskog</w:t>
      </w:r>
      <w:r>
        <w:t xml:space="preserve"> (SLU Artdatabanken, 2024; Wikars, 2014; IUCN, 2010).</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knärot (VU, T, §8), raggbock (VU, T), dropptaggsvamp (NT, T), dvärgbägarlav (NT, T), gammelgransskål (NT, T), kattfotslav (NT, T), kolflarnlav (NT, T), lunglav (NT, T), rynkskinn (NT, T), skuggblåslav (NT, T), tretåig hackspett (NT, T, §4), ullticka (NT, T), vedskivlav (NT, T), vedtrappmossa (NT, T), violettgrå tagellav (NT, T), korallblylav (S, T), nästlav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