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18304-2024 i Torsby kommun</w:t>
      </w:r>
    </w:p>
    <w:p>
      <w:r>
        <w:t>Detta dokument behandlar höga naturvärden i avverkningsanmälan A 18304-2024 i Torsby kommun. Denna avverkningsanmälan inkom 2024-05-10 00:00:00 och omfattar 41,5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44 naturvårdsarter hittats: grynig gelélav (EN), skrovellavsknapp (EN), fläckporing (VU), gräddporing (VU), spadskinn (VU), blanksvart spiklav (NT), blå taggsvamp (NT), dvärgbägarlav (NT), gammelgransskål (NT), garnlav (NT), kolflarnlav (NT), kortskaftad ärgspik (NT), lunglav (NT), motaggsvamp (NT), mörk kolflarnlav (NT), nordtagging (NT), reliktbock (NT), skrovellav (NT), skrovlig flatbagge (NT), spillkråka (NT, §4), svart taggsvamp (NT), svartvit taggsvamp (NT), tallticka (NT), talltita (NT, §4), tretåig hackspett (NT, §4), vaxspindling (NT), veckticka (NT), vedskivlav (NT), vedtrappmossa (NT), violettgrå tagellav (NT), vitgrynig nållav (NT), vitplätt (NT), barkticka (S), bronshjon (S), bårdlav (S), dropptaggsvamp (S), dvärgtufs (S), grovticka (S), grönpyrola (S), korallblylav (S), nästlav (S), skinnlav (S), skuggblåslav (S) och vanlig flatbagge (S). Av dessa är 32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35328"/>
            <wp:docPr id="1" name="Picture 1"/>
            <wp:cNvGraphicFramePr>
              <a:graphicFrameLocks noChangeAspect="1"/>
            </wp:cNvGraphicFramePr>
            <a:graphic>
              <a:graphicData uri="http://schemas.openxmlformats.org/drawingml/2006/picture">
                <pic:pic>
                  <pic:nvPicPr>
                    <pic:cNvPr id="0" name="A 18304-2024 karta.png"/>
                    <pic:cNvPicPr/>
                  </pic:nvPicPr>
                  <pic:blipFill>
                    <a:blip r:embed="rId16"/>
                    <a:stretch>
                      <a:fillRect/>
                    </a:stretch>
                  </pic:blipFill>
                  <pic:spPr>
                    <a:xfrm>
                      <a:off x="0" y="0"/>
                      <a:ext cx="5486400" cy="383532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6707684, E 412185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Grynig gelélav (EN)</w:t>
      </w:r>
      <w:r>
        <w:t xml:space="preserve"> är en starkt hotad art som växer på slätbarkiga senvuxna lövträd i fuktiga och skuggiga miljöer, mest lönn och ask i sydvästra Sverige samt asp och sälg i norra Sverige. Den är placerad högst upp i Skogsstyrelsens värdepyramid för bedömning av skog med höga naturvärden och alla lokaler bör skyddas. Genom att även andra rödlistade lavarter ofta förekommer på samma lokaler är dessa mycket skyddsvärda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Skrovellavsknapp (EN)</w:t>
      </w:r>
      <w:r>
        <w:t xml:space="preserve"> är en starkt hotad parasitisk svamp som växer på på skrovellav (NT) och är knuten till gamla lövträd som sälg och rönn i skogar av naturskogskaraktär. Skrovellavsknapp är sannolikt extremt känslig för uttorkning och avverkningar på eller nära växtplatserna utgör ett stort hot. Samtliga skogsbestånd med förekomst av skrovellavsknapp måste skyddas. Genom att skydda och utveckla skogmiljöer med skrovellavsknapp så gynnas också den likaså rödlistade värden skrovellav men också flera andra sällsynta och rödlistade lavar (SLU Artdatabanken, 2024).</w:t>
      </w:r>
    </w:p>
    <w:p>
      <w:r>
        <w:rPr>
          <w:b/>
        </w:rPr>
        <w:t xml:space="preserve">Skrovlig flatbagge (NT) </w:t>
      </w:r>
      <w:r>
        <w:t>är en skalbagge vars larvutveckling sker i mycelrik ved nära fruktkroppar av timmerticka eller citronticka i lågor av barrträd, främst tall, men även gran. Fullbildade skalbaggar påträffas i eller utanpå stammen vid näringsgnag på de vitaktiga, resupinata fruktkropparna. Arten missgynnas framförallt av att skogen blir tätare på grund av skogsskötsel och av att såväl återkommande bränder som skogsbete upphört. I naturligt öppnare miljöer hotas arten av vedtäkt och annat tillvaratagande av tallvirke. Naturligt brunnen tallskog i eller nära lokaler med arten bör skyddas. I skogsbruket bör mer naturvårdsträd av tall och vindfällen lämnas i fred. Detta är särskilt viktigt i kantzoner mot mer öppen mark tex. invid hällmarksimpediment. Skrovlig flatbagge</w:t>
      </w:r>
      <w:r>
        <w:rPr>
          <w:b/>
        </w:rPr>
        <w:t xml:space="preserve"> </w:t>
      </w:r>
      <w:r>
        <w:t>ingår i ett åtgärdsprogram för hotade arter (ÅGP) (SLU Artdatabanken, 2024; Wikars, 2014).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44 naturvårdsarter varav 32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Skrovellavsknapp – ekologi samt krav på livsmiljön</w:t>
      </w:r>
    </w:p>
    <w:p>
      <w:r>
        <w:t>Skrovellavsknapp (EN) är en starkt hotad parasitisk svamp som växer på på skrovellav (NT) och är knuten till gamla lövträd som sälg och rönn samt klippor i skogar av naturskogskaraktär. Skrovellavsknapp är sannolikt extremt känslig för uttorkning och avverkningar på eller nära växtplatserna utgör därför ett stort hot. Samtliga skogsbestånd med förekomst av skrovellavsknapp måste skyddas. Genom att skydda och utveckla skogsmiljöer med skrovellavsknapp så gynnas också den likaså rödlistade värden skrovellav men också flera andra sällsynta och rödlistade lavar (SLU Artdatabanken, 2024).</w:t>
      </w:r>
    </w:p>
    <w:p>
      <w:r>
        <w:t xml:space="preserve">Det är viktigt att spara skyddszoner kring bestånd där skrovellavsknapp förekommer, eftersom den är känslig för uttorkning. Skogar med extremt fuktigt lokalklimat i norra Sverige med arter av lunglavar </w:t>
      </w:r>
      <w:r>
        <w:rPr>
          <w:i/>
        </w:rPr>
        <w:t>Lobaria</w:t>
      </w:r>
      <w:r>
        <w:t xml:space="preserve"> på gran (Lobarion-samhällen) bör identifieras och skyddas då de alltid hyser sällsynta och rödlistade lavar. Det kan vara nödvändigt att stängsla in naturvårdsbrända områden för att undvika betning av lövträdsplantorna, om målsättningen är att få en lövbränna med ovan nämnda lövträd (SLU Artdatabanken, 2024).</w:t>
      </w:r>
    </w:p>
    <w:p>
      <w:pPr>
        <w:pStyle w:val="Heading2"/>
      </w:pPr>
      <w:r>
        <w:t>Referenser – skrovellavsknapp</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