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12294-2025 i Torsby kommun</w:t>
      </w:r>
    </w:p>
    <w:p>
      <w:r>
        <w:t>Detta dokument behandlar höga naturvärden i avverkningsanmälan A 12294-2025 i Torsby kommun. Denna avverkningsanmälan inkom 2025-03-13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dvärghäxört (S), svart trolldruva (S), tibast (S), underviol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5729"/>
            <wp:docPr id="1" name="Picture 1"/>
            <wp:cNvGraphicFramePr>
              <a:graphicFrameLocks noChangeAspect="1"/>
            </wp:cNvGraphicFramePr>
            <a:graphic>
              <a:graphicData uri="http://schemas.openxmlformats.org/drawingml/2006/picture">
                <pic:pic>
                  <pic:nvPicPr>
                    <pic:cNvPr id="0" name="A 12294-2025 karta.png"/>
                    <pic:cNvPicPr/>
                  </pic:nvPicPr>
                  <pic:blipFill>
                    <a:blip r:embed="rId16"/>
                    <a:stretch>
                      <a:fillRect/>
                    </a:stretch>
                  </pic:blipFill>
                  <pic:spPr>
                    <a:xfrm>
                      <a:off x="0" y="0"/>
                      <a:ext cx="5486400" cy="35357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6698547, E 381193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 xml:space="preserve">Underviol </w:t>
      </w:r>
      <w:r>
        <w:t>är en bra signalart i hela sitt utbredningsområde i såväl lövlundar som kalkbarrskogar. Arten är särskilt intressant när den förekommer i barrskog och indikerar då troligen relikta och hotade kalkbarrskogsekosystem. Underviol tål inte dagens storskaliga skogsbruksmetoder även om den vid enstaka tillfällen lyckas kvarstå i fuktdråg efter avverkning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