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57190-2024 i Torsby kommun</w:t>
      </w:r>
    </w:p>
    <w:p>
      <w:r>
        <w:t>Detta dokument behandlar höga naturvärden i avverkningsanmälan A 57190-2024 i Torsby kommun. Denna avverkningsanmälan inkom 2024-12-03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skogstrappmossa (NT) och violettgrå tagellav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8871"/>
            <wp:docPr id="1" name="Picture 1"/>
            <wp:cNvGraphicFramePr>
              <a:graphicFrameLocks noChangeAspect="1"/>
            </wp:cNvGraphicFramePr>
            <a:graphic>
              <a:graphicData uri="http://schemas.openxmlformats.org/drawingml/2006/picture">
                <pic:pic>
                  <pic:nvPicPr>
                    <pic:cNvPr id="0" name="A 57190-2024 karta.png"/>
                    <pic:cNvPicPr/>
                  </pic:nvPicPr>
                  <pic:blipFill>
                    <a:blip r:embed="rId16"/>
                    <a:stretch>
                      <a:fillRect/>
                    </a:stretch>
                  </pic:blipFill>
                  <pic:spPr>
                    <a:xfrm>
                      <a:off x="0" y="0"/>
                      <a:ext cx="5486400" cy="3398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6705003, E 392664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Skogstrappmossa (NT) </w:t>
      </w:r>
      <w:r>
        <w:t>är knuten till barrnaturskog med höga naturvärden där den växer på murkna stammar, oftast grova granlågor. Då och då hittas den även på beskuggade urbergsklippor och på fuktig ved i sumpskog. Minskad förekomst av grov död ved av främst barrträd innebär ett hot. Då arten även kräver hög luftfuktighet och skugga utgör alla skogsskötselåtgärder på eller i omedelbar närhet av lokalerna ett hot. På kända lokaler bör ingen avverkning ske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