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42488-2022 i Torsby kommun</w:t>
      </w:r>
    </w:p>
    <w:p>
      <w:r>
        <w:t>Detta dokument behandlar höga naturvärden i avverkningsanmälan A 42488-2022 i Torsby kommun. Denna avverkningsanmälan inkom 2022-09-27 00:00:00 och omfattar 2,7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10 naturvårdsarter hittats: knärot (VU, §8), rynkskinn (VU), garnlav (NT), lunglav (NT), ullticka (NT), bronshjon (S), bårdlav (S), grön sköldmossa (S, §8), korallblylav (S) och vedticka (S).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79430"/>
            <wp:docPr id="1" name="Picture 1"/>
            <wp:cNvGraphicFramePr>
              <a:graphicFrameLocks noChangeAspect="1"/>
            </wp:cNvGraphicFramePr>
            <a:graphic>
              <a:graphicData uri="http://schemas.openxmlformats.org/drawingml/2006/picture">
                <pic:pic>
                  <pic:nvPicPr>
                    <pic:cNvPr id="0" name="A 42488-2022 karta.png"/>
                    <pic:cNvPicPr/>
                  </pic:nvPicPr>
                  <pic:blipFill>
                    <a:blip r:embed="rId16"/>
                    <a:stretch>
                      <a:fillRect/>
                    </a:stretch>
                  </pic:blipFill>
                  <pic:spPr>
                    <a:xfrm>
                      <a:off x="0" y="0"/>
                      <a:ext cx="5486400" cy="41794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6743032, E 380252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 och grön sköldmossa (S, §8).</w:t>
      </w:r>
    </w:p>
    <w:p>
      <w:r>
        <w:rPr>
          <w:b/>
        </w:rPr>
        <w:t>Grön sköldmossa (§8)</w:t>
      </w:r>
      <w:r>
        <w:t xml:space="preserve"> omfattas av EU:s art- och habitatdirektiv bilaga 2 vilket innebär att det  finns ett uttalat intresse inom Europeiska unionen att bevara arten.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0.53 ha med buffertzonerna och får av detta skäl inte avverkas.</w:t>
      </w:r>
    </w:p>
    <w:p>
      <w:pPr>
        <w:pStyle w:val="Caption"/>
      </w:pPr>
      <w:r>
        <w:drawing>
          <wp:inline xmlns:a="http://schemas.openxmlformats.org/drawingml/2006/main" xmlns:pic="http://schemas.openxmlformats.org/drawingml/2006/picture">
            <wp:extent cx="5486400" cy="4976471"/>
            <wp:docPr id="2" name="Picture 2"/>
            <wp:cNvGraphicFramePr>
              <a:graphicFrameLocks noChangeAspect="1"/>
            </wp:cNvGraphicFramePr>
            <a:graphic>
              <a:graphicData uri="http://schemas.openxmlformats.org/drawingml/2006/picture">
                <pic:pic>
                  <pic:nvPicPr>
                    <pic:cNvPr id="0" name="A 42488-2022 karta knärot.png"/>
                    <pic:cNvPicPr/>
                  </pic:nvPicPr>
                  <pic:blipFill>
                    <a:blip r:embed="rId17"/>
                    <a:stretch>
                      <a:fillRect/>
                    </a:stretch>
                  </pic:blipFill>
                  <pic:spPr>
                    <a:xfrm>
                      <a:off x="0" y="0"/>
                      <a:ext cx="5486400" cy="497647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6743032, E 380252 i SWEREF 99 TM.</w:t>
      </w:r>
    </w:p>
    <w:p>
      <w:pPr>
        <w:pStyle w:val="Caption"/>
      </w:pP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Grön sköldmossa – ekologi samt krav på livsmiljön</w:t>
      </w:r>
    </w:p>
    <w:p>
      <w:r>
        <w:t>Grön sköldmossa, fridlyst enligt 8§ artskyddsförordningen, växer på stubbar och lågor av olika trädslag, huvudsakligen i sena nedbrytningsstadier och på och mellan grova rötter av levande och döda träd. Den förekommer i Sverige främst i näringsrika granskogar med stort inslag av löv, arten är kortlivad och antalet kapslar varierar kraftigt mellan olika år (SLU Artdatabanken, 2021).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w:t>
      </w:r>
    </w:p>
    <w:p>
      <w:r>
        <w:t>Arten har sin huvudutbredning i sydöstra Sverige (SLU Artdatabanken, 2021). Allvarligaste hoten mot arten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w:t>
      </w:r>
    </w:p>
    <w:p>
      <w:r>
        <w:t>Grön sköldmossa är upptagen i EU:s Habitatdirektiv bilaga 2 vilket innebär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Grön sköldmossa är typisk art för 9010 Taiga och 9750 Svämlövskog (Natura 2000) och omfattas även av Bernkonventionen bilaga 1.</w:t>
      </w:r>
    </w:p>
    <w:p>
      <w:r>
        <w:t>Fridlysningen enligt §§ 8 och 15 Artskyddsförordningen innebär att det är förbjudet att på något sätt skada exemplar av arten. Artskyddsförordning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1 till fågeldirektivet eller bilaga 2 till art- och habitatdirektivet.</w:t>
      </w:r>
    </w:p>
    <w:p>
      <w:r>
        <w:t>Mark- och miljööverdomstolen (MÖD) har i mål nr M 2019-20 (18 februari 2019) slagit fast att grön sköldmossa (§8) är dispenspliktig och att exemplar av arten inte får skadas utan dispens (MÖD, mål nr M 2019-20).</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 Se nedan.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