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Vägledning för hänsyn till nordfladdermus.</w:t>
      </w:r>
    </w:p>
    <w:p>
      <w:r>
        <w:t>SLU Artdatabanken, 2024.</w:t>
      </w:r>
      <w:r>
        <w:rPr>
          <w:i/>
        </w:rPr>
        <w:t xml:space="preserve">  Artfakta: nordfladdermus (Eptesicus nilssonii).</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