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25212-2025 i Torsby kommun</w:t>
      </w:r>
    </w:p>
    <w:p>
      <w:r>
        <w:t>Denna tillsynsbegäran behandlar höga naturvärden i avverkningsanmälan A 25212-2025 i Torsby kommun som inkom 2025-05-23 och omfattar 6,4 ha.</w:t>
      </w:r>
    </w:p>
    <w:p>
      <w:pPr>
        <w:pStyle w:val="Caption"/>
      </w:pPr>
      <w:r>
        <w:drawing>
          <wp:inline xmlns:a="http://schemas.openxmlformats.org/drawingml/2006/main" xmlns:pic="http://schemas.openxmlformats.org/drawingml/2006/picture">
            <wp:extent cx="4797538" cy="5724000"/>
            <wp:docPr id="1" name="Picture 1"/>
            <wp:cNvGraphicFramePr>
              <a:graphicFrameLocks noChangeAspect="1"/>
            </wp:cNvGraphicFramePr>
            <a:graphic>
              <a:graphicData uri="http://schemas.openxmlformats.org/drawingml/2006/picture">
                <pic:pic>
                  <pic:nvPicPr>
                    <pic:cNvPr id="0" name="A 25212-2025 karta.png"/>
                    <pic:cNvPicPr/>
                  </pic:nvPicPr>
                  <pic:blipFill>
                    <a:blip r:embed="rId16"/>
                    <a:stretch>
                      <a:fillRect/>
                    </a:stretch>
                  </pic:blipFill>
                  <pic:spPr>
                    <a:xfrm>
                      <a:off x="0" y="0"/>
                      <a:ext cx="4797538"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6692810, E 393227 i SWEREF 99 TM.</w:t>
      </w:r>
    </w:p>
    <w:p>
      <w:r>
        <w:t>I och inom 23 meter från avverkningsanmälan finns fynd av 2 naturvårdsarter, varav 1 är rödlistad, 1 är fridlyst, 1 är typisk (T) och 1 är signalart (S): bombmurkla (EN, §8)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Bombmurkla (EN, §8) </w:t>
      </w:r>
      <w:r>
        <w:t>är en starkt hotad art som</w:t>
      </w:r>
      <w:r>
        <w:rPr>
          <w:b/>
        </w:rPr>
        <w:t xml:space="preserve"> </w:t>
      </w:r>
      <w:r>
        <w:t>indikerar en speciell och hotad granskogstyp på naturligt näringsrika sandjordar. Den tål inte slutavverkning eller kraftig gallring och är endast påträffad i områden som har långvarig skogskontinuitet med gran. Minskningstakten för arten, som är placerad högst upp i Skogsstyrelsens värdepyramid för bedömning av skog med höga naturvärden, överstiger gränsvärdet för Starkt hotad (EN). Bombmurkla är fridlyst enligt 8 § artskyddsförordningen, omfattas av ett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2026; Nitare &amp; Skogsstyrelsen, 2019; Naturvårdsverket, 2010).</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