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44460-2023 i Torsby kommun</w:t>
      </w:r>
    </w:p>
    <w:p>
      <w:r>
        <w:t>Detta klagomål behandlar höga naturvärden i avverkningsanmälan A 44460-2023 i Torsby kommun som inkom 2023-09-20 och omfattar 9,2 ha.</w:t>
      </w:r>
    </w:p>
    <w:p>
      <w:pPr>
        <w:pStyle w:val="Caption"/>
      </w:pPr>
      <w:r>
        <w:drawing>
          <wp:inline xmlns:a="http://schemas.openxmlformats.org/drawingml/2006/main" xmlns:pic="http://schemas.openxmlformats.org/drawingml/2006/picture">
            <wp:extent cx="5486400" cy="5407215"/>
            <wp:docPr id="1" name="Picture 1"/>
            <wp:cNvGraphicFramePr>
              <a:graphicFrameLocks noChangeAspect="1"/>
            </wp:cNvGraphicFramePr>
            <a:graphic>
              <a:graphicData uri="http://schemas.openxmlformats.org/drawingml/2006/picture">
                <pic:pic>
                  <pic:nvPicPr>
                    <pic:cNvPr id="0" name="A 44460-2023 karta.png"/>
                    <pic:cNvPicPr/>
                  </pic:nvPicPr>
                  <pic:blipFill>
                    <a:blip r:embed="rId16"/>
                    <a:stretch>
                      <a:fillRect/>
                    </a:stretch>
                  </pic:blipFill>
                  <pic:spPr>
                    <a:xfrm>
                      <a:off x="0" y="0"/>
                      <a:ext cx="5486400" cy="5407215"/>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6741798, E 357033 i SWEREF 99 TM.</w:t>
      </w:r>
    </w:p>
    <w:p>
      <w:r>
        <w:t>I och inom 16 meter från avverkningsanmälan finns fynd av 14 naturvårdsarter, varav 11 är rödlistade, 3 är fridlysta, 5 är typiska (T) och 2 är signalarter (S): skrovlig taggsvamp (VU), björktrast (NT, §4), blanksvart spiklav (NT), dropptaggsvamp (NT, T), motaggsvamp (NT, T), mörk kolflarnlav (NT), skarp dropptaggsvamp (NT), talltita (NT, §4), vedflamlav (NT), vedskivlav (NT, T), vitplätt (NT), mindre märgborre (S, T), nästlav (S, T) och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