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450-2026 i Torsby kommun</w:t>
      </w:r>
    </w:p>
    <w:p>
      <w:r>
        <w:t>Denna tillsynsbegäran behandlar höga naturvärden i samrådsanmälan S 450-2026 i Torsby kommun som inkom 2026-02-19 och omfattar 100,1 ha.</w:t>
      </w:r>
    </w:p>
    <w:p>
      <w:pPr>
        <w:pStyle w:val="Caption"/>
      </w:pPr>
      <w:r>
        <w:drawing>
          <wp:inline xmlns:a="http://schemas.openxmlformats.org/drawingml/2006/main" xmlns:pic="http://schemas.openxmlformats.org/drawingml/2006/picture">
            <wp:extent cx="5486400" cy="2502009"/>
            <wp:docPr id="1" name="Picture 1"/>
            <wp:cNvGraphicFramePr>
              <a:graphicFrameLocks noChangeAspect="1"/>
            </wp:cNvGraphicFramePr>
            <a:graphic>
              <a:graphicData uri="http://schemas.openxmlformats.org/drawingml/2006/picture">
                <pic:pic>
                  <pic:nvPicPr>
                    <pic:cNvPr id="0" name="S 450-2026 karta.png"/>
                    <pic:cNvPicPr/>
                  </pic:nvPicPr>
                  <pic:blipFill>
                    <a:blip r:embed="rId16"/>
                    <a:stretch>
                      <a:fillRect/>
                    </a:stretch>
                  </pic:blipFill>
                  <pic:spPr>
                    <a:xfrm>
                      <a:off x="0" y="0"/>
                      <a:ext cx="5486400" cy="2502009"/>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6684141, E 386441 i SWEREF 99 TM.</w:t>
      </w:r>
    </w:p>
    <w:p>
      <w:r>
        <w:t>I och inom 19 meter från samrådsanmälan finns fynd av 19 naturvårdsarter, varav 6 är rödlistade, 14 är fridlysta, 6 är typiska (T) och 3 är signalarter (S): garnlav (VU, T), brunlångöra (NT, §4a), nordfladdermus (NT, §4a), talltita (NT, §4), tretåig hackspett (NT, T, §4), violettgrå tagellav (NT, T), björksplintborre (S), spindelblomster (S, T, §8), svavelriska (S), mattlummer (T, §9), ormbär (T), grönsiska (§4), kungsfågel (§4), orre (§4), vattenfladdermus (§4a), mindre vattensalamander (§6),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r>
        <w:rPr>
          <w:b/>
        </w:rPr>
        <w:t>Ormbär</w:t>
      </w:r>
      <w:r>
        <w:t xml:space="preserve"> är typisk art för </w:t>
      </w:r>
      <w:r>
        <w:rPr>
          <w:i/>
        </w:rPr>
        <w:t xml:space="preserve">9050 Näringsrik granskog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tretåig hackspett (NT, T, §4), violettgrå tagellav (NT, T), spindelblomster (S, T, §8), mattlummer (T, §9)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