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20012-2026 i Torsby kommun</w:t>
      </w:r>
    </w:p>
    <w:p>
      <w:r>
        <w:t>Denna tillsynsbegäran behandlar höga naturvärden i avverkningsanmälan A 20012-2026 i Torsby kommun som inkom 2026-04-24 och omfattar 4,9 ha.</w:t>
      </w:r>
    </w:p>
    <w:p>
      <w:pPr>
        <w:pStyle w:val="Caption"/>
      </w:pPr>
      <w:r>
        <w:drawing>
          <wp:inline xmlns:a="http://schemas.openxmlformats.org/drawingml/2006/main" xmlns:pic="http://schemas.openxmlformats.org/drawingml/2006/picture">
            <wp:extent cx="5486400" cy="4611593"/>
            <wp:docPr id="1" name="Picture 1"/>
            <wp:cNvGraphicFramePr>
              <a:graphicFrameLocks noChangeAspect="1"/>
            </wp:cNvGraphicFramePr>
            <a:graphic>
              <a:graphicData uri="http://schemas.openxmlformats.org/drawingml/2006/picture">
                <pic:pic>
                  <pic:nvPicPr>
                    <pic:cNvPr id="0" name="A 20012-2026 karta.png"/>
                    <pic:cNvPicPr/>
                  </pic:nvPicPr>
                  <pic:blipFill>
                    <a:blip r:embed="rId16"/>
                    <a:stretch>
                      <a:fillRect/>
                    </a:stretch>
                  </pic:blipFill>
                  <pic:spPr>
                    <a:xfrm>
                      <a:off x="0" y="0"/>
                      <a:ext cx="5486400" cy="461159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6699675, E 405543 i SWEREF 99 TM.</w:t>
      </w:r>
    </w:p>
    <w:p>
      <w:r>
        <w:t>I och inom 19 meter från avverkningsanmälan finns fynd av 7 naturvårdsarter, varav 4 är rödlistade, 1 är fridlyst, 4 är typiska (T) och 2 är signalarter (S): citronporing (VU), gränsticka (VU, T), gransotdyna (NT), vedtrappmossa (NT, T), trådticka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Citronporing (VU)</w:t>
      </w:r>
      <w:r>
        <w:t xml:space="preserve"> växer på granlågor i naturskogsartade granskogar. Den påträffas ofta på eller nära fruktkroppar av klibbticka. Citronporing är globalt rödlistad som starkt hotad (EN) vilket innebär att Sverige har ett internationellt ansvar för arten. Alla skogsskötselåtgärder på eller i direkt anslutning till växtplatserna utgör ett hot och områden som hyser arten måste undantas helt från skogsbruk. Lokaler där citronporing påträffas bör ges ett juridiskt skydd (SLU Artdatabanken, 2026; IUCN,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