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14968-2026 i Torsby kommun</w:t>
      </w:r>
    </w:p>
    <w:p>
      <w:r>
        <w:t>Denna tillsynsbegäran behandlar höga naturvärden i avverkningsanmälan A 14968-2026 i Torsby kommun som inkom 2026-03-23 och omfattar 12,0 ha.</w:t>
      </w:r>
    </w:p>
    <w:p>
      <w:pPr>
        <w:pStyle w:val="Caption"/>
      </w:pPr>
      <w:r>
        <w:drawing>
          <wp:inline xmlns:a="http://schemas.openxmlformats.org/drawingml/2006/main" xmlns:pic="http://schemas.openxmlformats.org/drawingml/2006/picture">
            <wp:extent cx="5125182" cy="5724000"/>
            <wp:docPr id="1" name="Picture 1"/>
            <wp:cNvGraphicFramePr>
              <a:graphicFrameLocks noChangeAspect="1"/>
            </wp:cNvGraphicFramePr>
            <a:graphic>
              <a:graphicData uri="http://schemas.openxmlformats.org/drawingml/2006/picture">
                <pic:pic>
                  <pic:nvPicPr>
                    <pic:cNvPr id="0" name="A 14968-2026 karta.png"/>
                    <pic:cNvPicPr/>
                  </pic:nvPicPr>
                  <pic:blipFill>
                    <a:blip r:embed="rId16"/>
                    <a:stretch>
                      <a:fillRect/>
                    </a:stretch>
                  </pic:blipFill>
                  <pic:spPr>
                    <a:xfrm>
                      <a:off x="0" y="0"/>
                      <a:ext cx="512518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6710173, E 413267 i SWEREF 99 TM.</w:t>
      </w:r>
    </w:p>
    <w:p>
      <w:r>
        <w:t>I och inom 24 meter från avverkningsanmälan finns fynd av 8 naturvårdsarter, varav 5 är rödlistade, 2 är fridlysta, 5 är typiska (T) och 2 är signalarter (S): blanksvart spiklav (NT), lunglav (NT, T), skrovellav (NT, T), tretåig hackspett (NT, T, §4), vitgrynig nållav (NT), luddlav (S, T), stuplav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tretåig hackspett (NT, T, §4),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