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18304-2024 i Torsby kommun</w:t>
      </w:r>
    </w:p>
    <w:p>
      <w:r>
        <w:t>Denna tillsynsbegäran behandlar höga naturvärden i avverkningsanmälan A 18304-2024 i Torsby kommun som inkom 2024-05-10 och omfattar 41,5 ha.</w:t>
      </w:r>
    </w:p>
    <w:p>
      <w:pPr>
        <w:pStyle w:val="Caption"/>
      </w:pPr>
      <w:r>
        <w:drawing>
          <wp:inline xmlns:a="http://schemas.openxmlformats.org/drawingml/2006/main" xmlns:pic="http://schemas.openxmlformats.org/drawingml/2006/picture">
            <wp:extent cx="5486400" cy="3612087"/>
            <wp:docPr id="1" name="Picture 1"/>
            <wp:cNvGraphicFramePr>
              <a:graphicFrameLocks noChangeAspect="1"/>
            </wp:cNvGraphicFramePr>
            <a:graphic>
              <a:graphicData uri="http://schemas.openxmlformats.org/drawingml/2006/picture">
                <pic:pic>
                  <pic:nvPicPr>
                    <pic:cNvPr id="0" name="A 18304-2024 karta.png"/>
                    <pic:cNvPicPr/>
                  </pic:nvPicPr>
                  <pic:blipFill>
                    <a:blip r:embed="rId16"/>
                    <a:stretch>
                      <a:fillRect/>
                    </a:stretch>
                  </pic:blipFill>
                  <pic:spPr>
                    <a:xfrm>
                      <a:off x="0" y="0"/>
                      <a:ext cx="5486400" cy="361208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6707684, E 412185 i SWEREF 99 TM.</w:t>
      </w:r>
    </w:p>
    <w:p>
      <w:r>
        <w:t>I och inom 25 meter från avverkningsanmälan finns fynd av 47 naturvårdsarter, varav 33 är rödlistade, 5 är fridlysta, 33 är typiska (T) och 13 är signalarter (S): skrovellavsknapp (EN), fläckporing (VU, T), garnlav (VU, T), gräddporing (VU, T), skrovlig taggsvamp (VU), spadskinn (VU), blanksvart spiklav (NT), blå taggsvamp (NT, T), dropptaggsvamp (NT, T), dvärgbägarlav (NT, T), gammelgransskål (NT, T), kolflarnlav (NT, T), kortskaftad ärgspik (NT), lunglav (NT, T), motaggsvamp (NT, T), mörk kolflarnlav (NT), nordtagging (NT), reliktbock (NT, T), skarp dropptaggsvamp (NT), skrovellav (NT, T), skrovlig flatbagge (NT, T), skuggblåslav (NT, T), svartvit taggsvamp (NT), tallticka (NT, T), talltita (NT, §4), tretåig hackspett (NT, T, §4), vaxspindling (NT), veckticka (NT, T), vedskivlav (NT, T), vedtrappmossa (NT, T), violettgrå tagellav (NT, T), vitgrynig nållav (NT), vitplätt (NT), barkticka (S, T), bronshjon (S, T), bårdlav (S, T), dvärgtufs (S), grovticka (S, T), grönpyrola (S, T), korallblylav (S, T), korallrot (S, T, §8), nästlav (S, T), plattlummer (S, T, §9), skinnlav (S, T), stuplav (S, T), vanlig flatbagge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Skrovellavsknapp (EN)</w:t>
      </w:r>
      <w:r>
        <w:t xml:space="preserve"> är en starkt hotad parasitisk svamp som växer på på skrovellav (NT) och är knuten till gamla lövträd som sälg och rönn i skogar av naturskogskaraktär. Skrovellavsknapp är sannolikt extremt känslig för uttorkning och avverkningar på eller nära växtplatserna utgör ett stort hot. Samtliga skogsbestånd med förekomst av skrovellavsknapp måste skyddas. Genom att skydda och utveckla skogsmiljöer med skrovellavsknapp så gynnas också den likaså rödlistade värden skrovellav (NT) samt flera andra sällsynta och rödlistade lavar, däribland lavparasiterna </w:t>
      </w:r>
      <w:r>
        <w:rPr>
          <w:i/>
        </w:rPr>
        <w:t>Catillaria lobariicola</w:t>
      </w:r>
      <w:r>
        <w:t xml:space="preserve"> (VU) och </w:t>
      </w:r>
      <w:r>
        <w:rPr>
          <w:i/>
        </w:rPr>
        <w:t>Merismatium lobariae</w:t>
      </w:r>
      <w:r>
        <w:t xml:space="preserve"> (DD), som också är knutna till skrovellav (SLU Artdatabanken, 2026).</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Skrovlig flatbagge (NT) </w:t>
      </w:r>
      <w:r>
        <w:t xml:space="preserve">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 är typisk art för </w:t>
      </w:r>
      <w:r>
        <w:rPr>
          <w:i/>
        </w:rPr>
        <w:t>9060 Åsbarrskog</w:t>
      </w:r>
      <w:r>
        <w:t xml:space="preserve"> och</w:t>
      </w:r>
      <w:r>
        <w:rPr>
          <w:b/>
        </w:rPr>
        <w:t xml:space="preserve"> </w:t>
      </w:r>
      <w:r>
        <w:t>ingår i ett åtgärdsprogram för hotade arter (ÅGP). Den är rödlistad som sårbar (VU) på den europeiska rödlistan vilket medför ett internationellt ansvar för arten (IUCN, 2025; SLU Artdatabanken, 2024; Wikars, 2014).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gräddporing (VU, T), blå taggsvamp (NT, T), dropptaggsvamp (NT, T), dvärgbägarlav (NT, T), gammelgransskål (NT, T), kolflarnlav (NT, T), lunglav (NT, T), motaggsvamp (NT, T), reliktbock (NT, T), skrovellav (NT, T), skrovlig flatbagge (NT, T), skuggblåslav (NT, T), tallticka (NT, T), tretåig hackspett (NT, T, §4), veckticka (NT, T), vedskivlav (NT, T), vedtrappmossa (NT, T), violettgrå tagellav (NT, T), barkticka (S, T), bronshjon (S, T), bårdlav (S, T), grovticka (S, T), grönpyrola (S, T), korallblylav (S, T), korallrot (S, T, §8), nästlav (S, T), plattlummer (S, T, §9), skinnlav (S, T), stuplav (S, T), vanlig flatbagge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Skrovellavsknapp – ekologi samt krav på livsmiljön</w:t>
      </w:r>
    </w:p>
    <w:p>
      <w:r>
        <w:t xml:space="preserve">Skrovellavsknapp (EN) är en starkt hotad parasitisk svamp som växer på på skrovellav (NT) och är knuten till gamla lövträd som sälg och rönn samt klippor i skogar av naturskogskaraktär. Skrovellavsknapp är sannolikt extremt känslig för uttorkning och avverkningar på eller nära växtplatserna utgör därför ett stort hot. Samtliga skogsbestånd med förekomst av skrovellavsknapp måste skyddas. Genom att skydda och utveckla skogsmiljöer med skrovellavsknapp så gynnas också den likaså rödlistade värden skrovellav samt även flera andra sällsynta och rödlistade lavar, däribland lavparasiterna </w:t>
      </w:r>
      <w:r>
        <w:rPr>
          <w:i/>
        </w:rPr>
        <w:t>Catillaria lobariicola</w:t>
      </w:r>
      <w:r>
        <w:t xml:space="preserve"> (VU) och </w:t>
      </w:r>
      <w:r>
        <w:rPr>
          <w:i/>
        </w:rPr>
        <w:t>Merismatium lobariae</w:t>
      </w:r>
      <w:r>
        <w:t xml:space="preserve"> (DD), som också är knutna till skrovellav (SLU Artdatabanken, 2026).</w:t>
      </w:r>
    </w:p>
    <w:p>
      <w:r>
        <w:t xml:space="preserve">Det är viktigt att spara skyddszoner kring bestånd där skrovellavsknapp förekommer, eftersom den är känslig för uttorkning. Skogar med extremt fuktigt lokalklimat i norra Sverige med arter av lunglavar </w:t>
      </w:r>
      <w:r>
        <w:rPr>
          <w:i/>
        </w:rPr>
        <w:t>Lobaria</w:t>
      </w:r>
      <w:r>
        <w:t xml:space="preserve"> på gran (Lobarion-samhällen) bör identifieras och skyddas då de alltid hyser sällsynta och rödlistade lavar. Det kan vara nödvändigt att stängsla in naturvårdsbrända områden för att undvika betning av lövträdsplantorna, om målsättningen är att få en lövbränna med ovan nämnda lövträd (SLU Artdatabanken, 2026).</w:t>
      </w:r>
    </w:p>
    <w:p>
      <w:pPr>
        <w:pStyle w:val="Heading2"/>
      </w:pPr>
      <w:r>
        <w:t>Referenser – skrovellavsknapp</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