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9226-2025 i Torsby kommun</w:t>
      </w:r>
    </w:p>
    <w:p>
      <w:r>
        <w:t>Denna tillsynsbegäran behandlar höga naturvärden i avverkningsanmälan A 9226-2025 i Torsby kommun som inkom 2025-02-26 och omfattar 0,8 ha.</w:t>
      </w:r>
    </w:p>
    <w:p>
      <w:pPr>
        <w:pStyle w:val="Caption"/>
      </w:pPr>
      <w:r>
        <w:drawing>
          <wp:inline xmlns:a="http://schemas.openxmlformats.org/drawingml/2006/main" xmlns:pic="http://schemas.openxmlformats.org/drawingml/2006/picture">
            <wp:extent cx="5486400" cy="5522457"/>
            <wp:docPr id="1" name="Picture 1"/>
            <wp:cNvGraphicFramePr>
              <a:graphicFrameLocks noChangeAspect="1"/>
            </wp:cNvGraphicFramePr>
            <a:graphic>
              <a:graphicData uri="http://schemas.openxmlformats.org/drawingml/2006/picture">
                <pic:pic>
                  <pic:nvPicPr>
                    <pic:cNvPr id="0" name="A 9226-2025 karta.png"/>
                    <pic:cNvPicPr/>
                  </pic:nvPicPr>
                  <pic:blipFill>
                    <a:blip r:embed="rId16"/>
                    <a:stretch>
                      <a:fillRect/>
                    </a:stretch>
                  </pic:blipFill>
                  <pic:spPr>
                    <a:xfrm>
                      <a:off x="0" y="0"/>
                      <a:ext cx="5486400" cy="552245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6712699, E 396348 i SWEREF 99 TM.</w:t>
      </w:r>
    </w:p>
    <w:p>
      <w:r>
        <w:t>I och inom 21 meter från avverkningsanmälan finns fynd av 5 naturvårdsarter, varav 2 är rödlistade, 1 är fridlyst, 2 är typiska (T) och 3 är signalarter (S): bombmurkla (EN, §8), späd bäckmossa (NT), blanksvart trämyra (S), mörk husmossa (S, T) och skogshakmossa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Späd bäckmossa (NT)</w:t>
      </w:r>
      <w:r>
        <w:t xml:space="preserve"> är en sällsynt art som växer på stenar och block i mindre, något rikare skogsbäckar i låglandet. Den är rödlistad som sårbar (VU) i den europeiska rödlistan och omfattas av EU:s art- och habitatdirektiv där dess bevarandestatus är otillfredsställande. Artens aktuella lokaler måste ges ett ändamålsenligt skydd och bevakas av berörda myndigheter, så att de inte påverkas negativt av skogsbruk eller annan markanvändning. Vid eventuell skogsavverkning är det viktigt att betydande hänsyn tas intill förekomsterna av arten. (SLU Artdatabanken, 2024; IUCN, 2024).</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