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62275-2023 i Torsby kommun</w:t>
      </w:r>
    </w:p>
    <w:p>
      <w:r>
        <w:t>Denna tillsynsbegäran behandlar höga naturvärden i avverkningsanmälan A 62275-2023 i Torsby kommun som inkom 2023-12-07 och omfattar 3,9 ha.</w:t>
      </w:r>
    </w:p>
    <w:p>
      <w:pPr>
        <w:pStyle w:val="Caption"/>
      </w:pPr>
      <w:r>
        <w:drawing>
          <wp:inline xmlns:a="http://schemas.openxmlformats.org/drawingml/2006/main" xmlns:pic="http://schemas.openxmlformats.org/drawingml/2006/picture">
            <wp:extent cx="5486400" cy="4973652"/>
            <wp:docPr id="1" name="Picture 1"/>
            <wp:cNvGraphicFramePr>
              <a:graphicFrameLocks noChangeAspect="1"/>
            </wp:cNvGraphicFramePr>
            <a:graphic>
              <a:graphicData uri="http://schemas.openxmlformats.org/drawingml/2006/picture">
                <pic:pic>
                  <pic:nvPicPr>
                    <pic:cNvPr id="0" name="A 62275-2023 karta.png"/>
                    <pic:cNvPicPr/>
                  </pic:nvPicPr>
                  <pic:blipFill>
                    <a:blip r:embed="rId16"/>
                    <a:stretch>
                      <a:fillRect/>
                    </a:stretch>
                  </pic:blipFill>
                  <pic:spPr>
                    <a:xfrm>
                      <a:off x="0" y="0"/>
                      <a:ext cx="5486400" cy="497365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6702298, E 407666 i SWEREF 99 TM.</w:t>
      </w:r>
    </w:p>
    <w:p>
      <w:r>
        <w:t>I avverkningsanmälan finns fynd av 5 naturvårdsarter, varav 3 är rödlistade, 4 är typiska (T) och 2 är signalarter (S): ullticka (NT, T), veckticka (NT, T), vedtrappmossa (NT, T), jättesvampmal (S) och stor aspticka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Veckticka (NT)</w:t>
      </w:r>
      <w:r>
        <w:t xml:space="preserve"> förekommer främst i äldre naturskogsartad löv- och blandskog i sena åldersstadier med gamla, döende och döda aspar. Avverkning eller gallring av aspbestånd är ett hot och aspskogar och asprika blandskogar måste bevaras i högre utsträckning än hittills. Sumpskog med asp och sälg har ett särskilt högt naturvärde och bör skyddas helt från skogsbruk. Veckticka är typisk art för </w:t>
      </w:r>
      <w:r>
        <w:rPr>
          <w:i/>
        </w:rPr>
        <w:t xml:space="preserve">9010 Taiga </w:t>
      </w:r>
      <w:r>
        <w:t xml:space="preserve">och </w:t>
      </w:r>
      <w:r>
        <w:rPr>
          <w:i/>
        </w:rPr>
        <w:t>9030 Landhöjningsskog</w:t>
      </w:r>
      <w:r>
        <w:t xml:space="preserve"> (SLU Artdatabanken, 2024; Nitare &amp; Skogsstyrelsen, 2019).</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Jättesvampmal</w:t>
      </w:r>
      <w:r>
        <w:t xml:space="preserve"> är en fjäril som flyger i juli i mer eller mindre orörd gammal löv- eller blandskog, särskilt sådan med björk och bok. Larven lever i fnöskticka m.fl. tickor och kläckhålen och resterna av larvgångar i äldre fruktkroppar är lätta att känna igen och inventera. Arten hotas av avverkning av gamla, svampangripna lövträd samt bortforsling av döda lövträd, vindfällen och lågor. Gamla lövträd och naturbestånd med lövskog - särskilt björk och bok - bör sparas så långt möjligt och död ved lämnas kvar i skogen (SLU Artdatabanken, 2025).</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Stor aspticka är typisk art för </w:t>
      </w:r>
      <w:r>
        <w:rPr>
          <w:i/>
        </w:rPr>
        <w:t xml:space="preserve">9010 Taiga </w:t>
      </w:r>
      <w:r>
        <w:t xml:space="preserve">och </w:t>
      </w:r>
      <w:r>
        <w:rPr>
          <w:i/>
        </w:rPr>
        <w:t>9030 Landhöjningsskog</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