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2 naturvårdsarter, varav 2 är rödlistade och 2 är typiska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