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47571-2025 i Hammarö kommun</w:t>
      </w:r>
    </w:p>
    <w:p>
      <w:r>
        <w:t>Denna tillsynsbegäran behandlar höga naturvärden i avverkningsanmälan A 47571-2025 i Hammarö kommun som inkom 2025-10-01 och omfattar 8,3 ha.</w:t>
      </w:r>
    </w:p>
    <w:p>
      <w:pPr>
        <w:pStyle w:val="Caption"/>
      </w:pPr>
      <w:r>
        <w:drawing>
          <wp:inline xmlns:a="http://schemas.openxmlformats.org/drawingml/2006/main" xmlns:pic="http://schemas.openxmlformats.org/drawingml/2006/picture">
            <wp:extent cx="5244049" cy="5724000"/>
            <wp:docPr id="1" name="Picture 1"/>
            <wp:cNvGraphicFramePr>
              <a:graphicFrameLocks noChangeAspect="1"/>
            </wp:cNvGraphicFramePr>
            <a:graphic>
              <a:graphicData uri="http://schemas.openxmlformats.org/drawingml/2006/picture">
                <pic:pic>
                  <pic:nvPicPr>
                    <pic:cNvPr id="0" name="A 47571-2025 karta.png"/>
                    <pic:cNvPicPr/>
                  </pic:nvPicPr>
                  <pic:blipFill>
                    <a:blip r:embed="rId16"/>
                    <a:stretch>
                      <a:fillRect/>
                    </a:stretch>
                  </pic:blipFill>
                  <pic:spPr>
                    <a:xfrm>
                      <a:off x="0" y="0"/>
                      <a:ext cx="5244049" cy="5724000"/>
                    </a:xfrm>
                    <a:prstGeom prst="rect"/>
                  </pic:spPr>
                </pic:pic>
              </a:graphicData>
            </a:graphic>
          </wp:inline>
        </w:drawing>
      </w:r>
    </w:p>
    <w:p>
      <w:pPr>
        <w:pStyle w:val="Caption"/>
        <w:spacing w:after="240"/>
      </w:pPr>
      <w:r>
        <w:t>Figur 1. Fyndplatser för naturvårdsarter i och inom 9 meter från avverkningsanmälan. Markörer utan svart kant är placerade på fyndplatsen. Markörer med svart kant är placerade vid sidan av fyndplatsen och har ett svart streck som visar fyndplatsens exakta position. Kartans mittpunktskoordinat är N 6573841, E 415774 i SWEREF 99 TM.</w:t>
      </w:r>
    </w:p>
    <w:p>
      <w:r>
        <w:t>I och inom 9 meter från avverkningsanmälan finns fynd av 5 naturvårdsarter, varav 3 är rödlistade, 4 är fridlysta och 3 är typiska (T): långskägg (EN, §8), knärot (VU, T, §8), motaggsvamp (NT, T), tjäder (T, §4) och kungsfågel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Långskägg (EN, §8)</w:t>
      </w:r>
      <w:r>
        <w:t xml:space="preserve"> är en exklusiv och starkt hotad art som signalerar naturskogar med mycket höga naturvärden. Den är placerad högst upp i Skogsstyrelsens värdepyramid för bedömning av skog med höga naturvärden och fridlyst enligt 8 § artskyddsförordningen. Arten förekommer främst i urskogsartade granskogar i nord- eller östvända bergssluttningar men även i gransumpskog, myrkanter och längs bäckdråg och indikerar lång skoglig kontinuitet där lokalerna ofta utgörs av brandrefugier, det vill säga områden som inte brunnit under åtminstone de senaste 200–300 åren. Långskägg är mycket känslig för uttorkning och vindpåverkan och överlever inte en slutavverkning (inklusive hänsyn). Samtliga kvarvarande lokaler bör skyddas. Det finns även en akut hotad gelésvamp, </w:t>
      </w:r>
      <w:r>
        <w:rPr>
          <w:i/>
        </w:rPr>
        <w:t>Tremella confluens</w:t>
      </w:r>
      <w:r>
        <w:t xml:space="preserve"> (CR), som är associerad med långskägg (SLU Artdatabanken, 2026;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0.96 ha med buffertzonerna och får av detta skäl inte avverkas.</w:t>
      </w:r>
    </w:p>
    <w:p>
      <w:pPr>
        <w:pStyle w:val="Caption"/>
      </w:pPr>
      <w:r>
        <w:drawing>
          <wp:inline xmlns:a="http://schemas.openxmlformats.org/drawingml/2006/main" xmlns:pic="http://schemas.openxmlformats.org/drawingml/2006/picture">
            <wp:extent cx="5486400" cy="7803238"/>
            <wp:docPr id="2" name="Picture 2"/>
            <wp:cNvGraphicFramePr>
              <a:graphicFrameLocks noChangeAspect="1"/>
            </wp:cNvGraphicFramePr>
            <a:graphic>
              <a:graphicData uri="http://schemas.openxmlformats.org/drawingml/2006/picture">
                <pic:pic>
                  <pic:nvPicPr>
                    <pic:cNvPr id="0" name="A 47571-2025 karta knärot.png"/>
                    <pic:cNvPicPr/>
                  </pic:nvPicPr>
                  <pic:blipFill>
                    <a:blip r:embed="rId17"/>
                    <a:stretch>
                      <a:fillRect/>
                    </a:stretch>
                  </pic:blipFill>
                  <pic:spPr>
                    <a:xfrm>
                      <a:off x="0" y="0"/>
                      <a:ext cx="5486400" cy="780323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6573841, E 415774 i SWEREF 99 TM.</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