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1549-2026 i Hammarö kommun</w:t>
      </w:r>
    </w:p>
    <w:p>
      <w:r>
        <w:t>Detta klagomål behandlar höga naturvärden i samrådsanmälan S 1549-2026 i Hammarö kommun som inkom 2026-05-25 och omfattar 0,8 ha.</w:t>
      </w:r>
    </w:p>
    <w:p>
      <w:pPr>
        <w:pStyle w:val="Caption"/>
      </w:pPr>
      <w:r>
        <w:drawing>
          <wp:inline xmlns:a="http://schemas.openxmlformats.org/drawingml/2006/main" xmlns:pic="http://schemas.openxmlformats.org/drawingml/2006/picture">
            <wp:extent cx="5486400" cy="4743144"/>
            <wp:docPr id="1" name="Picture 1"/>
            <wp:cNvGraphicFramePr>
              <a:graphicFrameLocks noChangeAspect="1"/>
            </wp:cNvGraphicFramePr>
            <a:graphic>
              <a:graphicData uri="http://schemas.openxmlformats.org/drawingml/2006/picture">
                <pic:pic>
                  <pic:nvPicPr>
                    <pic:cNvPr id="0" name="S 1549-2026 karta.png"/>
                    <pic:cNvPicPr/>
                  </pic:nvPicPr>
                  <pic:blipFill>
                    <a:blip r:embed="rId16"/>
                    <a:stretch>
                      <a:fillRect/>
                    </a:stretch>
                  </pic:blipFill>
                  <pic:spPr>
                    <a:xfrm>
                      <a:off x="0" y="0"/>
                      <a:ext cx="5486400" cy="4743144"/>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6577234, E 417687 i SWEREF 99 TM.</w:t>
      </w:r>
    </w:p>
    <w:p>
      <w:r>
        <w:t>I och inom 25 meter från samrådsanmälan finns fynd av 13 naturvårdsarter, varav 3 är rödlistade, 11 är fridlysta, 2 är typiska (T) och 2 är signalarter (S): brunlångöra (NT, §4a), gulsparv (NT, §4), nordfladdermus (NT, §4a), stubbspretmossa (S, T), thomsons trägnagare (S), spillkråka (T, §4), dvärgpipistrell (§4a), gröngöling (§4), havsörn (§4), kungsfågel (§4), vattenfladdermus (§4a), åkergroda (§4a)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