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r>
        <w:t>Lämna breda kantzoner (50–100 meter) mot bäckar, sumpskogar, sjöar och myrar.</w:t>
      </w:r>
    </w:p>
    <w:p>
      <w:r>
        <w:t>Återställ dikade sumpskogar genom att dämma eller täppta igen diken.</w:t>
      </w:r>
    </w:p>
    <w:p>
      <w:r>
        <w:t>Undvik all form av avverkning, inklusive gallring, i sumpskogsmiljöer och spara dem som hänsynsytor.</w:t>
      </w:r>
    </w:p>
    <w:p>
      <w:r>
        <w:t>Inom 100 meter från revir av mindre flugsnappare bör det bara ske ett försiktigt virkesuttag.</w:t>
      </w:r>
    </w:p>
    <w:p>
      <w:r>
        <w:t>Undvik all form av avverkning i gamla bokskogar av naturskogskaraktär och spara dem som hänsynsytor.</w:t>
      </w:r>
    </w:p>
    <w:p>
      <w:pPr>
        <w:pStyle w:val="Heading2"/>
      </w:pPr>
      <w:r>
        <w:t>Referenser – mindre flugsnappare</w:t>
      </w:r>
    </w:p>
    <w:p>
      <w:r>
        <w:t xml:space="preserve">Skogsstyrelsen, 2016. </w:t>
      </w:r>
      <w:r>
        <w:rPr>
          <w:i/>
        </w:rPr>
        <w:t>Vägledning för hänsyn till mindre flugsnappare.</w:t>
      </w:r>
    </w:p>
    <w:p>
      <w:r>
        <w:t>SLU Artdatabanken, 2024.</w:t>
      </w:r>
      <w:r>
        <w:rPr>
          <w:i/>
        </w:rPr>
        <w:t xml:space="preserve"> Artfakta: mindre flugsnappare (Ficedula parva).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