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2 naturvårdsarter, varav 1 är rödlistad, 1 är fridlyst och 1 är typisk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