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485-2024 i Grums kommun</w:t>
      </w:r>
    </w:p>
    <w:p>
      <w:r>
        <w:t>Detta klagomål behandlar höga naturvärden i samrådsanmälan S 485-2024 i Grums kommun som inkom 2024-02-21 och omfattar 137,9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S 485-2024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6573091, E 385807 i SWEREF 99 TM.</w:t>
      </w:r>
    </w:p>
    <w:p>
      <w:r>
        <w:t>I och inom 22 meter från samrådsanmälan finns fynd av 14 naturvårdsarter, varav 9 är rödlistade, 7 är fridlysta, 7 är typiska (T) och 1 är signalart (S): brunlångöra (NT, §4a), dropptaggsvamp (NT, T), dvärgbägarlav (NT, T), gulsparv (NT, §4), kattfotslav (NT, T), motaggsvamp (NT, T), nordfladdermus (NT, §4a), svartvit taggsvamp (NT), vedskivlav (NT, T), flagellkvastmossa (S, T), tjäder (T, §4), dvärgpipistrell (§4a), orre (§4)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