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667-2023 i Grums kommun</w:t>
      </w:r>
    </w:p>
    <w:p>
      <w:r>
        <w:t>Denna tillsynsbegäran behandlar höga naturvärden i samrådsanmälan S 667-2023 i Grums kommun som inkom 2023-02-21 och omfattar 287,7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S 667-2023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6574581, E 383275 i SWEREF 99 TM.</w:t>
      </w:r>
    </w:p>
    <w:p>
      <w:r>
        <w:t>I och inom 25 meter från samrådsanmälan finns fynd av 16 naturvårdsarter, varav 7 är rödlistade, 10 är fridlysta, 9 är typiska (T) och 2 är signalarter (S): garnlav (VU, T), gulsparv (NT, §4), kungsörn (NT, §4), motaggsvamp (NT, T), talltita (NT, §4), vedskivlav (NT, T), vedtrappmossa (NT, T), flagellkvastmossa (S, T), strutbräken (S, T), mattlummer (T, §9), spillkråka (T, §4), tjäder (T, §4), röd glada (§4), trana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motaggsvamp (NT, T), vedskivlav (NT, T), vedtrappmossa (NT, T), flagellkvastmossa (S, T), strutbräken (S, T),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