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2768-2026 i Grums kommun</w:t>
      </w:r>
    </w:p>
    <w:p>
      <w:r>
        <w:t>Denna tillsynsbegäran behandlar höga naturvärden i samrådsanmälan S 2768-2026 i Grums kommun som inkom 2026-10-22 och omfattar 1,6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S 2768-2026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6598043, E 385124 i SWEREF 99 TM.</w:t>
      </w:r>
    </w:p>
    <w:p>
      <w:r>
        <w:t>I samrådsanmälan finns fynd av 7 naturvårdsarter, varav 1 är rödlistad, 2 är fridlysta, 6 är typiska (T) och 4 är signalarter (S): gullpudra (NT, T), dvärghäxört (S, T), myskmadra (S, T), springkorn (S, T), strutbräken (S, T), blåsippa (T,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gullpudra (NT, T), dvärghäxört (S, T), myskmadra (S, T), springkorn (S, T), strutbräken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