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13704-2024 i Grums kommun</w:t>
      </w:r>
    </w:p>
    <w:p>
      <w:r>
        <w:t>Detta dokument behandlar höga naturvärden i avverkningsanmälan A 13704-2024 i Grums kommun. Denna avverkningsanmälan inkom 2024-04-08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rödvingetrast (NT, §4), spillkråka (NT, §4), svartvit flugsnappare (NT, §4), ärtsångare (NT, §4), grönsiska (§4) och järnsparv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13704-2024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6580910, E 394541 i SWEREF 99 TM.</w:t>
      </w:r>
    </w:p>
    <w:p>
      <w:pPr>
        <w:pStyle w:val="Heading1"/>
      </w:pPr>
      <w:r>
        <w:t>Fridlysta arter</w:t>
      </w:r>
    </w:p>
    <w:p>
      <w:r>
        <w:t>Följande fridlysta arter har sina livsmiljöer och växtplatser i den avverkningsanmälda skogen: rödvingetrast (NT, §4), spillkråka (NT, §4), svartvit flugsnappare (NT, §4), ärtsångare (NT, §4), grönsiska (§4) och järnsparv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BillerudKorsnäs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