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13841-2022 i Årjängs kommun</w:t>
      </w:r>
    </w:p>
    <w:p>
      <w:r>
        <w:t>Detta klagomål behandlar höga naturvärden i avverkningsanmälan A 13841-2022 i Årjängs kommun som inkom 2022-03-29 och omfattar 18,2 ha.</w:t>
      </w:r>
    </w:p>
    <w:p>
      <w:pPr>
        <w:pStyle w:val="Caption"/>
      </w:pPr>
      <w:r>
        <w:drawing>
          <wp:inline xmlns:a="http://schemas.openxmlformats.org/drawingml/2006/main" xmlns:pic="http://schemas.openxmlformats.org/drawingml/2006/picture">
            <wp:extent cx="5486400" cy="5239418"/>
            <wp:docPr id="1" name="Picture 1"/>
            <wp:cNvGraphicFramePr>
              <a:graphicFrameLocks noChangeAspect="1"/>
            </wp:cNvGraphicFramePr>
            <a:graphic>
              <a:graphicData uri="http://schemas.openxmlformats.org/drawingml/2006/picture">
                <pic:pic>
                  <pic:nvPicPr>
                    <pic:cNvPr id="0" name="A 13841-2022 karta.png"/>
                    <pic:cNvPicPr/>
                  </pic:nvPicPr>
                  <pic:blipFill>
                    <a:blip r:embed="rId16"/>
                    <a:stretch>
                      <a:fillRect/>
                    </a:stretch>
                  </pic:blipFill>
                  <pic:spPr>
                    <a:xfrm>
                      <a:off x="0" y="0"/>
                      <a:ext cx="5486400" cy="5239418"/>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6607560, E 333956 i SWEREF 99 TM.</w:t>
      </w:r>
    </w:p>
    <w:p>
      <w:r>
        <w:t>I och inom 14 meter från avverkningsanmälan finns fynd av 12 naturvårdsarter, varav 6 är rödlistade, 1 är fridlyst, 11 är typiska (T) och 6 är signalarter (S): grynlav (EN), garnlav (VU, T), brunpudrad nållav (NT, T), kattfotslav (NT, T), tretåig hackspett (NT, T, §4), vedtrappmossa (NT, T), blek stjärnmossa (S, T), bronshjon (S, T), bårdlav (S, T), korallblylav (S, T), terpentinmossa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Grynlav (EN)</w:t>
      </w:r>
      <w:r>
        <w:t xml:space="preserve"> är en starkt hotad lav som växer på gamla lövträd, främst asp, ek och hamlad ask, samt på klippor i områden med hög och jämn luftfuktighet. Arten är placerad högst upp i Skogsstyrelsens värdepyramid för bedömning av skog med höga naturvärden och har svårt att överleva en slutavverkning även om värdträden sparas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Blek stjärnmossa</w:t>
      </w:r>
      <w:r>
        <w:t xml:space="preserve"> påträffas på skuggiga och något fuktiga platser i skog, till exempel i fuktiga klippspringor, skrevor och håligheter. I strandskog växer den även på trädrötter och i branter på jord under till exempel hasselbuskar. Arten tycks trivas bäst i ädellövnaturskog samt i ädellövskog på kalkrik mark och i grönstensbranter. Artens miljöer brukar hysa flera ovanliga och rödlistade arter. Blek stjärnmossa är typisk art för </w:t>
      </w:r>
      <w:r>
        <w:rPr>
          <w:i/>
        </w:rPr>
        <w:t>9160 Näringsrik ekskog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Terpentinmossa</w:t>
      </w:r>
      <w:r>
        <w:t xml:space="preserve"> signalerar alltid biotoper med höga naturvärden och dess lokaler bör alltid uppmärksammas som nyckelbiotoper. Den indikerar områden med konstant beskuggning och god tillgång på murken, fuktig ved och tål inte avverkning och markberedning. Sverige har ett internationellt ansvar för arten, då en relativt stor andel av den europeiska populationen troligen finns i vårt land. Terpentinmossa är rödlistad som nära hotad (NT) på den europeiska rödlistan och typisk art för </w:t>
      </w:r>
      <w:r>
        <w:rPr>
          <w:i/>
        </w:rPr>
        <w:t xml:space="preserve">9010 Taiga, 9080 Lövsumpskog </w:t>
      </w:r>
      <w:r>
        <w:t xml:space="preserve">och </w:t>
      </w:r>
      <w:r>
        <w:rPr>
          <w:i/>
        </w:rPr>
        <w:t>9750 Svämlövskog</w:t>
      </w:r>
      <w:r>
        <w:t xml:space="preserve"> (Nitare &amp; Skogsstyrelsen, 2019; IUCN,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