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48449-2021 i Årjängs kommun</w:t>
      </w:r>
    </w:p>
    <w:p>
      <w:r>
        <w:t>Denna tillsynsbegäran behandlar höga naturvärden i avverkningsanmälan A 48449-2021 i Årjängs kommun som inkom 2021-09-13 och omfattar 0,9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48449-2021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6604640, E 340818 i SWEREF 99 TM.</w:t>
      </w:r>
    </w:p>
    <w:p>
      <w:r>
        <w:t>I och inom 25 meter från avverkningsanmälan finns fynd av 17 naturvårdsarter, varav 5 är rödlistade, 12 är fridlysta, 3 är typiska (T) och 1 är signalart (S): knärot (VU, T, §8), skägglavmätare (VU), baltiskt skogsfly (NT), skogshare (NT), vitfläckig guldvinge (NT), toppvaxing (S), järpe (T, §4), spillkråka (T, §4), gröngöling (§4), grönsiska (§4), kråka (§4), kungsfågel (§4), orre (§4), svartvit flugsnappare (§4), trana (§4), skogsödla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728534"/>
            <wp:docPr id="2" name="Picture 2"/>
            <wp:cNvGraphicFramePr>
              <a:graphicFrameLocks noChangeAspect="1"/>
            </wp:cNvGraphicFramePr>
            <a:graphic>
              <a:graphicData uri="http://schemas.openxmlformats.org/drawingml/2006/picture">
                <pic:pic>
                  <pic:nvPicPr>
                    <pic:cNvPr id="0" name="A 48449-2021 karta knärot.png"/>
                    <pic:cNvPicPr/>
                  </pic:nvPicPr>
                  <pic:blipFill>
                    <a:blip r:embed="rId17"/>
                    <a:stretch>
                      <a:fillRect/>
                    </a:stretch>
                  </pic:blipFill>
                  <pic:spPr>
                    <a:xfrm>
                      <a:off x="0" y="0"/>
                      <a:ext cx="5486400" cy="57285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6604640, E 340818 i SWEREF 99 TM.</w:t>
      </w:r>
    </w:p>
    <w:p>
      <w:r>
        <w:rPr>
          <w:b/>
        </w:rPr>
        <w:t>Skägglavmätare (VU)</w:t>
      </w:r>
      <w:r>
        <w:t xml:space="preserve"> förknippas med hänglavsrika urskogsliknande barrskogar där fjärilslarverna livnär sig på lavar av släktena </w:t>
      </w:r>
      <w:r>
        <w:rPr>
          <w:i/>
        </w:rPr>
        <w:t>Usnea</w:t>
      </w:r>
      <w:r>
        <w:t xml:space="preserve"> och </w:t>
      </w:r>
      <w:r>
        <w:rPr>
          <w:i/>
        </w:rPr>
        <w:t>Alectoria</w:t>
      </w:r>
      <w:r>
        <w:t>. Tidigare förekom skägglavmätaren i äldre blandskogar med skägglavar och tagellavar över hela landet men efter hand som gammal skog har avverkats har artens förekomster minskat. Kalavverkning av skägglavsrika skogsbestånd utgör ett hot och lavrika miljöer bör undantas från kalavverkning (SLU Artdatabanken, 2024).</w:t>
      </w:r>
    </w:p>
    <w:p>
      <w:r>
        <w:rPr>
          <w:b/>
        </w:rPr>
        <w:t>Baltiskt skogsfly (NT)</w:t>
      </w:r>
      <w:r>
        <w:t xml:space="preserve"> förekommer i blåbärsgranskogar, särskilt i äldre lavrika barrskogar där den lokalt kan uppträda talrikt. Arten har minskat kraftigt sedan millennieskiftet. Minskningen är störst i den södra halvan av utbredningsområdet men även längre norrut har minskningar kunnat observeras. Det främsta hotet är kalhyggesbruk och det är viktigt att äldre barrskogar med lång kontinuitet bevaras. Vid avverkning är det viktigt att skogspartier sparas och att korridorer bevaras så att arterna kan förflytta sig i det skogslandskap som blir kvar efter en naturanpassad avverkning som tar hänsyn till naturvärdena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