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liten kandelabersvamp (CR), isabellporing (EN), gräddporing (VU), knärot (VU, §8), raggbock (VU), västlig njurlav (VU), barrpraktbagge (NT),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Isabellporing (EN) </w:t>
      </w:r>
      <w:r>
        <w:t>är en sällsynt och starkt hotad art som påträffas på starkt murken ved av gran och tall, sällan gråal. Arten förekommer företrädesvis i gammelskog och de flesta fynden är från mer eller mindre naturskogsartade barrskogar. Få kända lokaler gör att artens populationer är känsliga för decimering. På sikt är bristen på barrskogar med lång, kontinuerlig tillgång på lågor ett hot. Fragmenteringen av skogslandskapet minskar artens möjligheter till spridning. Nya förekomster belägna utanför naturreservat bör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