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56535-2023 i Årjängs kommun</w:t>
      </w:r>
    </w:p>
    <w:p>
      <w:r>
        <w:t>Detta dokument behandlar höga naturvärden i avverkningsanmälan A 56535-2023 i Årjängs kommun. Denna avverkningsanmälan inkom 2023-11-13 13:42:05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liten kandelabersvamp (CR), knärot (VU, §8), garnlav (NT), hornvaxskinn (NT), kådvaxskinn (NT), tallticka (NT), ullticka (NT), vedskivlav (NT), vedtrappmossa (NT) och tjäder (§4).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01366"/>
            <wp:docPr id="1" name="Picture 1"/>
            <wp:cNvGraphicFramePr>
              <a:graphicFrameLocks noChangeAspect="1"/>
            </wp:cNvGraphicFramePr>
            <a:graphic>
              <a:graphicData uri="http://schemas.openxmlformats.org/drawingml/2006/picture">
                <pic:pic>
                  <pic:nvPicPr>
                    <pic:cNvPr id="0" name="A 56535-2023 karta.png"/>
                    <pic:cNvPicPr/>
                  </pic:nvPicPr>
                  <pic:blipFill>
                    <a:blip r:embed="rId16"/>
                    <a:stretch>
                      <a:fillRect/>
                    </a:stretch>
                  </pic:blipFill>
                  <pic:spPr>
                    <a:xfrm>
                      <a:off x="0" y="0"/>
                      <a:ext cx="5486400" cy="29013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6581098, E 321721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Liten kandelabersvamp (EN)</w:t>
      </w:r>
      <w:r>
        <w:t xml:space="preserve"> är en ytterst sällsynt och starkt hotad vedsvamp knuten till tallnaturskogar med fuktigt mikroklimat och bördiga markförhållanden. Svampen hotas av skogsbruksåtgärder och samtliga lokaler bör skyddas och undantas från skogsbruk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30 fyndplatser för knärot registrerade på Artportalen. Figur 2 visar gränserna för buffertzoner på 50 m, som behöver lämnas kring fyndplatserna för att knärotslokalerna inte ska försvinna vid en avverkning. Av det avverkningsanmälda området överlappar 4.61 ha med buffertzonerna och får av detta skäl inte avverkas.</w:t>
      </w:r>
    </w:p>
    <w:p>
      <w:pPr>
        <w:pStyle w:val="Caption"/>
      </w:pPr>
      <w:r>
        <w:drawing>
          <wp:inline xmlns:a="http://schemas.openxmlformats.org/drawingml/2006/main" xmlns:pic="http://schemas.openxmlformats.org/drawingml/2006/picture">
            <wp:extent cx="5486400" cy="3320470"/>
            <wp:docPr id="2" name="Picture 2"/>
            <wp:cNvGraphicFramePr>
              <a:graphicFrameLocks noChangeAspect="1"/>
            </wp:cNvGraphicFramePr>
            <a:graphic>
              <a:graphicData uri="http://schemas.openxmlformats.org/drawingml/2006/picture">
                <pic:pic>
                  <pic:nvPicPr>
                    <pic:cNvPr id="0" name="A 56535-2023 karta knärot.png"/>
                    <pic:cNvPicPr/>
                  </pic:nvPicPr>
                  <pic:blipFill>
                    <a:blip r:embed="rId17"/>
                    <a:stretch>
                      <a:fillRect/>
                    </a:stretch>
                  </pic:blipFill>
                  <pic:spPr>
                    <a:xfrm>
                      <a:off x="0" y="0"/>
                      <a:ext cx="5486400" cy="33204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6581098, E 321721 i SWEREF 99 TM.</w:t>
      </w:r>
    </w:p>
    <w:p>
      <w:pPr>
        <w:pStyle w:val="Caption"/>
      </w:pP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