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33525-2023 i Årjängs kommun</w:t>
      </w:r>
    </w:p>
    <w:p>
      <w:r>
        <w:t>Denna tillsynsbegäran behandlar höga naturvärden i avverkningsanmälan A 33525-2023 i Årjängs kommun som inkom 2023-07-24 och omfattar 10,2 ha.</w:t>
      </w:r>
    </w:p>
    <w:p>
      <w:pPr>
        <w:pStyle w:val="Caption"/>
      </w:pPr>
      <w:r>
        <w:drawing>
          <wp:inline xmlns:a="http://schemas.openxmlformats.org/drawingml/2006/main" xmlns:pic="http://schemas.openxmlformats.org/drawingml/2006/picture">
            <wp:extent cx="5486400" cy="3372911"/>
            <wp:docPr id="1" name="Picture 1"/>
            <wp:cNvGraphicFramePr>
              <a:graphicFrameLocks noChangeAspect="1"/>
            </wp:cNvGraphicFramePr>
            <a:graphic>
              <a:graphicData uri="http://schemas.openxmlformats.org/drawingml/2006/picture">
                <pic:pic>
                  <pic:nvPicPr>
                    <pic:cNvPr id="0" name="A 33525-2023 karta.png"/>
                    <pic:cNvPicPr/>
                  </pic:nvPicPr>
                  <pic:blipFill>
                    <a:blip r:embed="rId16"/>
                    <a:stretch>
                      <a:fillRect/>
                    </a:stretch>
                  </pic:blipFill>
                  <pic:spPr>
                    <a:xfrm>
                      <a:off x="0" y="0"/>
                      <a:ext cx="5486400" cy="337291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6596014, E 328715 i SWEREF 99 TM.</w:t>
      </w:r>
    </w:p>
    <w:p>
      <w:r>
        <w:t>Inom 25 meter från avverkningsanmälan finns fynd av 4 naturvårdsarter, varav 4 är rödlistade och 3 är typiska (T): garnlav (VU, T), dropptaggsvamp (NT, T), orange taggsvamp (NT, T) och tallfingersvamp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