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29038-2019 i Årjängs kommun</w:t>
      </w:r>
    </w:p>
    <w:p>
      <w:r>
        <w:t>Detta dokument behandlar höga naturvärden i avverkningsanmälan A 29038-2019 i Årjängs kommun. Denna avverkningsanmälan inkom 2019-06-05 och omfattar 8,5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5 naturvårdsarter hittats: knärot (VU, §8), lateritticka (VU), kådvaxskinn (NT), vitplätt (NT) och gullgröppa (S). Av dessa är 4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663294"/>
            <wp:docPr id="1" name="Picture 1"/>
            <wp:cNvGraphicFramePr>
              <a:graphicFrameLocks noChangeAspect="1"/>
            </wp:cNvGraphicFramePr>
            <a:graphic>
              <a:graphicData uri="http://schemas.openxmlformats.org/drawingml/2006/picture">
                <pic:pic>
                  <pic:nvPicPr>
                    <pic:cNvPr id="0" name="A 29038-2019 karta.png"/>
                    <pic:cNvPicPr/>
                  </pic:nvPicPr>
                  <pic:blipFill>
                    <a:blip r:embed="rId16"/>
                    <a:stretch>
                      <a:fillRect/>
                    </a:stretch>
                  </pic:blipFill>
                  <pic:spPr>
                    <a:xfrm>
                      <a:off x="0" y="0"/>
                      <a:ext cx="5486400" cy="466329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6594204, E 316536 i SWEREF 99 TM.</w:t>
      </w:r>
    </w:p>
    <w:p>
      <w:r>
        <w:rPr>
          <w:b/>
        </w:rPr>
        <w:t>Lateritticka (VU)</w:t>
      </w:r>
      <w:r>
        <w:t xml:space="preserve"> är en sällsynt art knuten till gamla urskogsartade tallnaturskogar med kontinentalt klimat och lång kontinuitet av grova lågor och gamla silverfuror. Den växer främst på liggande stammar som härrör från tallar som under många år stått avbarkade och döda innan de fallit (SLU Artdatabanken, 2024; Nitare &amp; Skogsstyrelsen, 2019).</w:t>
      </w:r>
    </w:p>
    <w:p>
      <w:pPr>
        <w:pStyle w:val="Heading1"/>
      </w:pPr>
      <w:r>
        <w:t>Fridlysta arter</w:t>
      </w:r>
    </w:p>
    <w:p>
      <w:r>
        <w:t>Följande fridlysta arter har sina livsmiljöer och växtplatser i den avverkningsanmälda skogen: knärot (VU, §8).</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3 fyndplatser för knärot registrerade på Artportalen. Figur 2 visar gränserna för buffertzoner på 50 m, som behöver lämnas kring fyndplatserna för att knärotslokalerna inte ska försvinna vid en avverkning. Av det avverkningsanmälda området överlappar 1.02 ha med buffertzonerna och får av detta skäl inte avverkas.</w:t>
      </w:r>
    </w:p>
    <w:p>
      <w:pPr>
        <w:pStyle w:val="Caption"/>
      </w:pPr>
      <w:r>
        <w:drawing>
          <wp:inline xmlns:a="http://schemas.openxmlformats.org/drawingml/2006/main" xmlns:pic="http://schemas.openxmlformats.org/drawingml/2006/picture">
            <wp:extent cx="5486400" cy="5557584"/>
            <wp:docPr id="2" name="Picture 2"/>
            <wp:cNvGraphicFramePr>
              <a:graphicFrameLocks noChangeAspect="1"/>
            </wp:cNvGraphicFramePr>
            <a:graphic>
              <a:graphicData uri="http://schemas.openxmlformats.org/drawingml/2006/picture">
                <pic:pic>
                  <pic:nvPicPr>
                    <pic:cNvPr id="0" name="A 29038-2019 karta knärot.png"/>
                    <pic:cNvPicPr/>
                  </pic:nvPicPr>
                  <pic:blipFill>
                    <a:blip r:embed="rId17"/>
                    <a:stretch>
                      <a:fillRect/>
                    </a:stretch>
                  </pic:blipFill>
                  <pic:spPr>
                    <a:xfrm>
                      <a:off x="0" y="0"/>
                      <a:ext cx="5486400" cy="5557584"/>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6594204, E 316536 i SWEREF 99 TM.</w:t>
      </w:r>
    </w:p>
    <w:p>
      <w:pPr>
        <w:pStyle w:val="Caption"/>
      </w:pP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5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2025-02-02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