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65319-2021 i Årjängs kommun</w:t>
      </w:r>
    </w:p>
    <w:p>
      <w:r>
        <w:t>Detta klagomål behandlar höga naturvärden i avverkningsanmälan A 65319-2021 i Årjängs kommun som inkom 2021-11-15 och omfattar 4,9 ha.</w:t>
      </w:r>
    </w:p>
    <w:p>
      <w:pPr>
        <w:pStyle w:val="Caption"/>
      </w:pPr>
      <w:r>
        <w:drawing>
          <wp:inline xmlns:a="http://schemas.openxmlformats.org/drawingml/2006/main" xmlns:pic="http://schemas.openxmlformats.org/drawingml/2006/picture">
            <wp:extent cx="5486400" cy="4057296"/>
            <wp:docPr id="1" name="Picture 1"/>
            <wp:cNvGraphicFramePr>
              <a:graphicFrameLocks noChangeAspect="1"/>
            </wp:cNvGraphicFramePr>
            <a:graphic>
              <a:graphicData uri="http://schemas.openxmlformats.org/drawingml/2006/picture">
                <pic:pic>
                  <pic:nvPicPr>
                    <pic:cNvPr id="0" name="A 65319-2021 karta.png"/>
                    <pic:cNvPicPr/>
                  </pic:nvPicPr>
                  <pic:blipFill>
                    <a:blip r:embed="rId16"/>
                    <a:stretch>
                      <a:fillRect/>
                    </a:stretch>
                  </pic:blipFill>
                  <pic:spPr>
                    <a:xfrm>
                      <a:off x="0" y="0"/>
                      <a:ext cx="5486400" cy="4057296"/>
                    </a:xfrm>
                    <a:prstGeom prst="rect"/>
                  </pic:spPr>
                </pic:pic>
              </a:graphicData>
            </a:graphic>
          </wp:inline>
        </w:drawing>
      </w:r>
    </w:p>
    <w:p>
      <w:pPr>
        <w:pStyle w:val="Caption"/>
        <w:spacing w:after="240"/>
      </w:pPr>
      <w:r>
        <w:t>Figur 1. Fyndplatser för naturvårdsarter i och inom 9 meter från avverkningsanmälan. Markörer utan svart kant är placerade på fyndplatsen. Markörer med svart kant är placerade vid sidan av fyndplatsen har ett svart streck som visar fyndplatsens exakta position. Kartans mittpunktskoordinat är N 6605910, E 334428 i SWEREF 99 TM.</w:t>
      </w:r>
    </w:p>
    <w:p>
      <w:r>
        <w:t>I och inom 9 meter från avverkningsanmälan finns fynd av 6 naturvårdsarter, varav 5 är rödlistade, 2 är fridlysta och 6 är typiska (T): garnlav (VU, T), knärot (VU, T, §8), raggbock (VU, T), dropptaggsvamp (NT, T), lunglav (NT, T)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0.38 ha med buffertzonerna och får av detta skäl inte avverkas.</w:t>
      </w:r>
    </w:p>
    <w:p>
      <w:pPr>
        <w:pStyle w:val="Caption"/>
      </w:pPr>
      <w:r>
        <w:drawing>
          <wp:inline xmlns:a="http://schemas.openxmlformats.org/drawingml/2006/main" xmlns:pic="http://schemas.openxmlformats.org/drawingml/2006/picture">
            <wp:extent cx="5486400" cy="3938519"/>
            <wp:docPr id="2" name="Picture 2"/>
            <wp:cNvGraphicFramePr>
              <a:graphicFrameLocks noChangeAspect="1"/>
            </wp:cNvGraphicFramePr>
            <a:graphic>
              <a:graphicData uri="http://schemas.openxmlformats.org/drawingml/2006/picture">
                <pic:pic>
                  <pic:nvPicPr>
                    <pic:cNvPr id="0" name="A 65319-2021 karta knärot.png"/>
                    <pic:cNvPicPr/>
                  </pic:nvPicPr>
                  <pic:blipFill>
                    <a:blip r:embed="rId17"/>
                    <a:stretch>
                      <a:fillRect/>
                    </a:stretch>
                  </pic:blipFill>
                  <pic:spPr>
                    <a:xfrm>
                      <a:off x="0" y="0"/>
                      <a:ext cx="5486400" cy="393851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6605910, E 334428 i SWEREF 99 TM.</w:t>
      </w:r>
    </w:p>
    <w:p>
      <w:r>
        <w:rPr>
          <w:b/>
        </w:rPr>
        <w:t>Raggbock (VU)</w:t>
      </w:r>
      <w:r>
        <w:t xml:space="preserve"> är en brandgynnad skalbagge vars larvutveckling sker i äldre, liggande, solexponerade stammar av tall, mer sällan gran. Raggbock ingår i ett åtgärdsprogram för hotade arter (ÅGP) och den är rödlistad som nära hotad (NT) i den europeiska rödlistan. Raggbock är typisk art för </w:t>
      </w:r>
      <w:r>
        <w:rPr>
          <w:i/>
        </w:rPr>
        <w:t>9010 Taiga</w:t>
      </w:r>
      <w:r>
        <w:t xml:space="preserve"> och</w:t>
      </w:r>
      <w:r>
        <w:rPr>
          <w:i/>
        </w:rPr>
        <w:t xml:space="preserve"> 9060 Åsbarrskog</w:t>
      </w:r>
      <w:r>
        <w:t xml:space="preserve"> (SLU Artdatabanken, 2024; Wikars, 2014; IUCN, 2010).</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