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56535-2023 i Årjängs kommun</w:t>
      </w:r>
    </w:p>
    <w:p>
      <w:r>
        <w:t>Detta dokument behandlar höga naturvärden i avverkningsanmälan A 56535-2023 i Årjängs kommun. Denna avverkningsanmälan inkom 2023-11-13 13:42:05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kandelabersvamp (CR), knärot (VU, §8), garnlav (NT), hornvaxskinn (NT), kådvaxskinn (NT), tallticka (NT), ullticka (NT), vedskivlav (NT), vedtrappmossa (NT) och tjäder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366"/>
            <wp:docPr id="1" name="Picture 1"/>
            <wp:cNvGraphicFramePr>
              <a:graphicFrameLocks noChangeAspect="1"/>
            </wp:cNvGraphicFramePr>
            <a:graphic>
              <a:graphicData uri="http://schemas.openxmlformats.org/drawingml/2006/picture">
                <pic:pic>
                  <pic:nvPicPr>
                    <pic:cNvPr id="0" name="A 56535-2023 karta.png"/>
                    <pic:cNvPicPr/>
                  </pic:nvPicPr>
                  <pic:blipFill>
                    <a:blip r:embed="rId16"/>
                    <a:stretch>
                      <a:fillRect/>
                    </a:stretch>
                  </pic:blipFill>
                  <pic:spPr>
                    <a:xfrm>
                      <a:off x="0" y="0"/>
                      <a:ext cx="5486400" cy="29013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6581098, E 321721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Liten kandelabersvamp (CR)</w:t>
      </w:r>
      <w:r>
        <w:t xml:space="preserve"> är en ytterst sällsynt vedsvamp knuten till tallnaturskogar med fuktigt mikroklimat och bördiga markförhållanden. Svampen är akut hotad av skogsbruksåtgärder </w:t>
        <w:br/>
        <w:t>och samtliga lokaler bör skyddas och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4.61 ha med buffertzonerna och får av detta skäl inte avverkas.</w:t>
      </w:r>
    </w:p>
    <w:p>
      <w:pPr>
        <w:pStyle w:val="Caption"/>
      </w:pPr>
      <w:r>
        <w:drawing>
          <wp:inline xmlns:a="http://schemas.openxmlformats.org/drawingml/2006/main" xmlns:pic="http://schemas.openxmlformats.org/drawingml/2006/picture">
            <wp:extent cx="5486400" cy="3320470"/>
            <wp:docPr id="2" name="Picture 2"/>
            <wp:cNvGraphicFramePr>
              <a:graphicFrameLocks noChangeAspect="1"/>
            </wp:cNvGraphicFramePr>
            <a:graphic>
              <a:graphicData uri="http://schemas.openxmlformats.org/drawingml/2006/picture">
                <pic:pic>
                  <pic:nvPicPr>
                    <pic:cNvPr id="0" name="A 56535-2023 karta knärot.png"/>
                    <pic:cNvPicPr/>
                  </pic:nvPicPr>
                  <pic:blipFill>
                    <a:blip r:embed="rId17"/>
                    <a:stretch>
                      <a:fillRect/>
                    </a:stretch>
                  </pic:blipFill>
                  <pic:spPr>
                    <a:xfrm>
                      <a:off x="0" y="0"/>
                      <a:ext cx="5486400" cy="3320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6581098, E 321721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